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E096C" w14:textId="77777777" w:rsidR="00DC296B" w:rsidRDefault="00AC362E">
      <w:pPr>
        <w:spacing w:after="120"/>
        <w:jc w:val="center"/>
      </w:pPr>
      <w:r>
        <w:rPr>
          <w:noProof/>
        </w:rPr>
        <w:drawing>
          <wp:inline distT="0" distB="0" distL="0" distR="0" wp14:anchorId="069748F1" wp14:editId="74D60889">
            <wp:extent cx="20574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57400" cy="990600"/>
                    </a:xfrm>
                    <a:prstGeom prst="rect">
                      <a:avLst/>
                    </a:prstGeom>
                  </pic:spPr>
                </pic:pic>
              </a:graphicData>
            </a:graphic>
          </wp:inline>
        </w:drawing>
      </w:r>
    </w:p>
    <w:p w14:paraId="7C9C6838" w14:textId="77777777" w:rsidR="00DC296B" w:rsidRDefault="00AC362E">
      <w:pPr>
        <w:spacing w:after="20"/>
        <w:jc w:val="center"/>
      </w:pPr>
      <w:r>
        <w:rPr>
          <w:b/>
          <w:bCs/>
          <w:sz w:val="30"/>
          <w:szCs w:val="30"/>
        </w:rPr>
        <w:t>MICHAEL J. CHAPMAN, PhD, JD</w:t>
      </w:r>
    </w:p>
    <w:p w14:paraId="17573371" w14:textId="77777777" w:rsidR="00DC296B" w:rsidRDefault="00AC362E">
      <w:pPr>
        <w:spacing w:after="100"/>
        <w:jc w:val="center"/>
      </w:pPr>
      <w:r>
        <w:rPr>
          <w:b/>
          <w:bCs/>
          <w:sz w:val="22"/>
          <w:szCs w:val="22"/>
        </w:rPr>
        <w:t>President, Envision Economics, LLC</w:t>
      </w:r>
    </w:p>
    <w:p w14:paraId="075D3CB6" w14:textId="77777777" w:rsidR="00DC296B" w:rsidRDefault="00AC362E">
      <w:pPr>
        <w:spacing w:after="40"/>
        <w:jc w:val="center"/>
      </w:pPr>
      <w:r>
        <w:rPr>
          <w:sz w:val="22"/>
          <w:szCs w:val="22"/>
        </w:rPr>
        <w:t>Washington, DC  |  202-528-5036</w:t>
      </w:r>
    </w:p>
    <w:p w14:paraId="1EEED09C" w14:textId="7D126676" w:rsidR="00DC296B" w:rsidRDefault="00AC362E">
      <w:pPr>
        <w:spacing w:after="260"/>
        <w:jc w:val="center"/>
      </w:pPr>
      <w:r>
        <w:rPr>
          <w:sz w:val="22"/>
          <w:szCs w:val="22"/>
        </w:rPr>
        <w:t>michael.chapman@envisioneconomics.com</w:t>
      </w:r>
    </w:p>
    <w:p w14:paraId="4AC5B6E1" w14:textId="77777777" w:rsidR="00DC296B" w:rsidRDefault="00AC362E">
      <w:pPr>
        <w:spacing w:after="120"/>
      </w:pPr>
      <w:r>
        <w:rPr>
          <w:sz w:val="22"/>
          <w:szCs w:val="22"/>
        </w:rPr>
        <w:t>Michael Chapman is President and Founder of Envision Economics, LLC, a boutique economic damages consulting firm that specializes in assessing damages in intellectual property litigation, commercial disputes, and personal injury/tort matters. Dr. Chapman has more than 25 years of experience providing economic, financial, and strategic consulting services to public and private companies, law firms, and foreign governments, and has directed or served as testifying expert in over 100 litigation engagements. He has served as an economic expert and conducted economic analyses in a wide range of industries, including pharmaceuticals, medical devices, semiconductors, computer software, telecom, financial services, insurance, manufacturing, steel, agricultural products, and consumer products.</w:t>
      </w:r>
    </w:p>
    <w:p w14:paraId="1E05B726" w14:textId="77777777" w:rsidR="00DC296B" w:rsidRDefault="00AC362E">
      <w:pPr>
        <w:spacing w:after="120"/>
      </w:pPr>
      <w:r>
        <w:rPr>
          <w:sz w:val="22"/>
          <w:szCs w:val="22"/>
        </w:rPr>
        <w:t>Prior to establishing Envision Economics, Dr. Chapman was a Senior Managing Director at Ankura Consulting in Washington, D.C. (2017-2019) and a Vice President in the Washington, DC office of Analysis Group, Inc. (2002-2017). At Ankura and Analysis Group, Dr. Chapman led teams in more than 100 engagements addressing economic issues in intellectual property, antitrust, and commercial litigation, and authored articles on damages issues published in, among others, the Federal Circuit Bar Journal, the Stanford Technology Law Review, and IDEA: The Intellectual Property Law Review.</w:t>
      </w:r>
    </w:p>
    <w:p w14:paraId="5C4FE560" w14:textId="77777777" w:rsidR="00DC296B" w:rsidRDefault="00AC362E">
      <w:pPr>
        <w:spacing w:after="120"/>
      </w:pPr>
      <w:r>
        <w:rPr>
          <w:sz w:val="22"/>
          <w:szCs w:val="22"/>
        </w:rPr>
        <w:t>From 2000 to 2001, Dr. Chapman was a Strategy Specialist with McKinsey &amp; Company in Washington, DC, serving clients across a range of industries and contributing to consultant training programs. From 1995 to 2000, Dr. Chapman practiced as an international trade attorney in the Washington, DC office of Shearman &amp; Sterling, primarily representing foreign companies and governments in antidumping and countervailing duty proceedings before the U.S. International Trade Commission, the U.S. Department of Commerce, the U.S. Court of International Trade, and the U.S. Court of Appeals for the Federal Circuit.</w:t>
      </w:r>
    </w:p>
    <w:p w14:paraId="001F730A" w14:textId="77777777" w:rsidR="00DC296B" w:rsidRDefault="00AC362E">
      <w:pPr>
        <w:spacing w:after="120"/>
      </w:pPr>
      <w:r>
        <w:rPr>
          <w:sz w:val="22"/>
          <w:szCs w:val="22"/>
        </w:rPr>
        <w:t>Dr. Chapman has taught microeconomics and competitive strategy at a number of leading business schools, including MIT's Sloan School of Management, the University of Michigan's Ross School of Business, Georgetown University's McDonough School of Business, and the University of Maryland's Robert H. Smith School of Business. He holds a PhD in Economics from MIT, a JD from the University of Michigan Law School, and a BA with Honors in Economics from the University of Wisconsin-Madison.</w:t>
      </w:r>
    </w:p>
    <w:p w14:paraId="518CEDF8" w14:textId="77777777" w:rsidR="00DC296B" w:rsidRDefault="00DC296B">
      <w:pPr>
        <w:pBdr>
          <w:bottom w:val="single" w:sz="6" w:space="4" w:color="999999"/>
        </w:pBdr>
        <w:spacing w:before="120" w:after="200"/>
      </w:pPr>
    </w:p>
    <w:p w14:paraId="26922ACC" w14:textId="77777777" w:rsidR="00DC296B" w:rsidRDefault="00AC362E">
      <w:pPr>
        <w:spacing w:before="260" w:after="140"/>
      </w:pPr>
      <w:r>
        <w:rPr>
          <w:b/>
          <w:bCs/>
          <w:sz w:val="26"/>
          <w:szCs w:val="26"/>
        </w:rPr>
        <w:t>EDUCATION</w:t>
      </w:r>
    </w:p>
    <w:p w14:paraId="5080A4F5" w14:textId="77777777" w:rsidR="00DC296B" w:rsidRDefault="00AC362E">
      <w:pPr>
        <w:pStyle w:val="ListParagraph"/>
        <w:numPr>
          <w:ilvl w:val="0"/>
          <w:numId w:val="1"/>
        </w:numPr>
        <w:spacing w:after="120"/>
      </w:pPr>
      <w:r>
        <w:rPr>
          <w:b/>
          <w:bCs/>
          <w:sz w:val="22"/>
          <w:szCs w:val="22"/>
        </w:rPr>
        <w:t xml:space="preserve">JD, Law, </w:t>
      </w:r>
      <w:r>
        <w:rPr>
          <w:i/>
          <w:iCs/>
          <w:sz w:val="22"/>
          <w:szCs w:val="22"/>
        </w:rPr>
        <w:t>University of Michigan Law School, Ann Arbor, MI</w:t>
      </w:r>
      <w:r>
        <w:rPr>
          <w:sz w:val="22"/>
          <w:szCs w:val="22"/>
        </w:rPr>
        <w:t>, 1995 — Honors in International Trade Law; Legal Writing Instructor</w:t>
      </w:r>
    </w:p>
    <w:p w14:paraId="72452477" w14:textId="77777777" w:rsidR="00DC296B" w:rsidRDefault="00AC362E">
      <w:pPr>
        <w:pStyle w:val="ListParagraph"/>
        <w:numPr>
          <w:ilvl w:val="0"/>
          <w:numId w:val="1"/>
        </w:numPr>
        <w:spacing w:after="120"/>
      </w:pPr>
      <w:r>
        <w:rPr>
          <w:b/>
          <w:bCs/>
          <w:sz w:val="22"/>
          <w:szCs w:val="22"/>
        </w:rPr>
        <w:t xml:space="preserve">PhD, Economics, </w:t>
      </w:r>
      <w:r>
        <w:rPr>
          <w:i/>
          <w:iCs/>
          <w:sz w:val="22"/>
          <w:szCs w:val="22"/>
        </w:rPr>
        <w:t>Massachusetts Institute of Technology, Cambridge, MA</w:t>
      </w:r>
      <w:r>
        <w:rPr>
          <w:sz w:val="22"/>
          <w:szCs w:val="22"/>
        </w:rPr>
        <w:t>, 1993 — Majors: Industrial Organization and International Economics. Advisors: Paul Krugman and Rudiger Dornbusch</w:t>
      </w:r>
    </w:p>
    <w:p w14:paraId="6194E4C9" w14:textId="77777777" w:rsidR="00DC296B" w:rsidRDefault="00AC362E">
      <w:pPr>
        <w:pStyle w:val="ListParagraph"/>
        <w:numPr>
          <w:ilvl w:val="0"/>
          <w:numId w:val="1"/>
        </w:numPr>
        <w:spacing w:after="120"/>
      </w:pPr>
      <w:r>
        <w:rPr>
          <w:b/>
          <w:bCs/>
          <w:sz w:val="22"/>
          <w:szCs w:val="22"/>
        </w:rPr>
        <w:t xml:space="preserve">BA, Economics with Honors, </w:t>
      </w:r>
      <w:r>
        <w:rPr>
          <w:i/>
          <w:iCs/>
          <w:sz w:val="22"/>
          <w:szCs w:val="22"/>
        </w:rPr>
        <w:t>University of Wisconsin-Madison, Madison, WI</w:t>
      </w:r>
      <w:r>
        <w:rPr>
          <w:sz w:val="22"/>
          <w:szCs w:val="22"/>
        </w:rPr>
        <w:t>, 1988 — Valedictorian, College of Letters and Science; Phi Beta Kappa</w:t>
      </w:r>
    </w:p>
    <w:p w14:paraId="2819E117" w14:textId="77777777" w:rsidR="00DC296B" w:rsidRDefault="00DC296B">
      <w:pPr>
        <w:pBdr>
          <w:bottom w:val="single" w:sz="6" w:space="4" w:color="999999"/>
        </w:pBdr>
        <w:spacing w:before="120" w:after="200"/>
      </w:pPr>
    </w:p>
    <w:p w14:paraId="03DD02AE" w14:textId="77777777" w:rsidR="00DC296B" w:rsidRDefault="00AC362E">
      <w:pPr>
        <w:spacing w:before="260" w:after="140"/>
      </w:pPr>
      <w:r>
        <w:rPr>
          <w:b/>
          <w:bCs/>
          <w:sz w:val="26"/>
          <w:szCs w:val="26"/>
        </w:rPr>
        <w:lastRenderedPageBreak/>
        <w:t>PROFESSIONAL EXPERIENCE</w:t>
      </w:r>
    </w:p>
    <w:p w14:paraId="50BC8016" w14:textId="77777777" w:rsidR="00DC296B" w:rsidRDefault="00AC362E">
      <w:pPr>
        <w:spacing w:before="100" w:after="20"/>
      </w:pPr>
      <w:r>
        <w:rPr>
          <w:b/>
          <w:bCs/>
          <w:sz w:val="22"/>
          <w:szCs w:val="22"/>
        </w:rPr>
        <w:t>President, Envision Economics, Washington, DC</w:t>
      </w:r>
    </w:p>
    <w:p w14:paraId="6A8AB2A4" w14:textId="77777777" w:rsidR="00DC296B" w:rsidRDefault="00AC362E">
      <w:pPr>
        <w:spacing w:after="20"/>
      </w:pPr>
      <w:r>
        <w:rPr>
          <w:b/>
          <w:bCs/>
          <w:sz w:val="22"/>
          <w:szCs w:val="22"/>
        </w:rPr>
        <w:t>2019 - Present</w:t>
      </w:r>
    </w:p>
    <w:p w14:paraId="65F437EF" w14:textId="77777777" w:rsidR="00DC296B" w:rsidRDefault="00AC362E">
      <w:pPr>
        <w:spacing w:after="120"/>
      </w:pPr>
      <w:r>
        <w:rPr>
          <w:sz w:val="22"/>
          <w:szCs w:val="22"/>
        </w:rPr>
        <w:t>Founded boutique economic damages consulting firm; prepares and presents expert economic testimony in IP and personal injury matters.</w:t>
      </w:r>
    </w:p>
    <w:p w14:paraId="6512BD6A" w14:textId="77777777" w:rsidR="00DC296B" w:rsidRDefault="00AC362E">
      <w:pPr>
        <w:spacing w:before="100" w:after="20"/>
      </w:pPr>
      <w:r>
        <w:rPr>
          <w:b/>
          <w:bCs/>
          <w:sz w:val="22"/>
          <w:szCs w:val="22"/>
        </w:rPr>
        <w:t>Partner, Winton &amp; Chapman, PLLC, Washington, DC</w:t>
      </w:r>
    </w:p>
    <w:p w14:paraId="1AF97370" w14:textId="77777777" w:rsidR="00DC296B" w:rsidRDefault="00AC362E">
      <w:pPr>
        <w:spacing w:after="20"/>
      </w:pPr>
      <w:r>
        <w:rPr>
          <w:b/>
          <w:bCs/>
          <w:sz w:val="22"/>
          <w:szCs w:val="22"/>
        </w:rPr>
        <w:t>2020 - Present (Concurrent with Envision Economics)</w:t>
      </w:r>
    </w:p>
    <w:p w14:paraId="6ECE40B0" w14:textId="77777777" w:rsidR="00DC296B" w:rsidRDefault="00AC362E">
      <w:pPr>
        <w:spacing w:after="120"/>
      </w:pPr>
      <w:r>
        <w:rPr>
          <w:sz w:val="22"/>
          <w:szCs w:val="22"/>
        </w:rPr>
        <w:t>Counsel in international trade litigation and regulatory proceedings before U.S. agencies and courts.</w:t>
      </w:r>
    </w:p>
    <w:p w14:paraId="79949832" w14:textId="77777777" w:rsidR="00DC296B" w:rsidRDefault="00AC362E">
      <w:pPr>
        <w:spacing w:before="100" w:after="20"/>
      </w:pPr>
      <w:r>
        <w:rPr>
          <w:b/>
          <w:bCs/>
          <w:sz w:val="22"/>
          <w:szCs w:val="22"/>
        </w:rPr>
        <w:t>Senior Managing Director, Ankura Consulting, Washington, DC</w:t>
      </w:r>
    </w:p>
    <w:p w14:paraId="549FA488" w14:textId="77777777" w:rsidR="00DC296B" w:rsidRDefault="00AC362E">
      <w:pPr>
        <w:spacing w:after="20"/>
      </w:pPr>
      <w:r>
        <w:rPr>
          <w:b/>
          <w:bCs/>
          <w:sz w:val="22"/>
          <w:szCs w:val="22"/>
        </w:rPr>
        <w:t>2017 - 2019</w:t>
      </w:r>
    </w:p>
    <w:p w14:paraId="0B77E4AE" w14:textId="77777777" w:rsidR="00DC296B" w:rsidRDefault="00AC362E">
      <w:pPr>
        <w:spacing w:after="120"/>
      </w:pPr>
      <w:r>
        <w:rPr>
          <w:sz w:val="22"/>
          <w:szCs w:val="22"/>
        </w:rPr>
        <w:t>Directed high-profile expert witness engagements in IP, commercial damages, and mass tort disputes.</w:t>
      </w:r>
    </w:p>
    <w:p w14:paraId="118C9093" w14:textId="77777777" w:rsidR="00DC296B" w:rsidRDefault="00AC362E">
      <w:pPr>
        <w:spacing w:before="100" w:after="20"/>
      </w:pPr>
      <w:r>
        <w:rPr>
          <w:b/>
          <w:bCs/>
          <w:sz w:val="22"/>
          <w:szCs w:val="22"/>
        </w:rPr>
        <w:t>Vice President, Analysis Group, Washington, DC</w:t>
      </w:r>
    </w:p>
    <w:p w14:paraId="58931511" w14:textId="77777777" w:rsidR="00DC296B" w:rsidRDefault="00AC362E">
      <w:pPr>
        <w:spacing w:after="20"/>
      </w:pPr>
      <w:r>
        <w:rPr>
          <w:b/>
          <w:bCs/>
          <w:sz w:val="22"/>
          <w:szCs w:val="22"/>
        </w:rPr>
        <w:t>2002 - 2017</w:t>
      </w:r>
    </w:p>
    <w:p w14:paraId="1D9C19D3" w14:textId="77777777" w:rsidR="00DC296B" w:rsidRDefault="00AC362E">
      <w:pPr>
        <w:spacing w:after="120"/>
      </w:pPr>
      <w:r>
        <w:rPr>
          <w:sz w:val="22"/>
          <w:szCs w:val="22"/>
        </w:rPr>
        <w:t>Led expert engagements in IP, antitrust, and commercial litigation; developed damages analyses across healthcare, pharmaceuticals, software, and consumer products.</w:t>
      </w:r>
    </w:p>
    <w:p w14:paraId="089775AB" w14:textId="77777777" w:rsidR="00DC296B" w:rsidRDefault="00AC362E">
      <w:pPr>
        <w:spacing w:before="100" w:after="20"/>
      </w:pPr>
      <w:r>
        <w:rPr>
          <w:b/>
          <w:bCs/>
          <w:sz w:val="22"/>
          <w:szCs w:val="22"/>
        </w:rPr>
        <w:t>Strategy Specialist, McKinsey &amp; Company, Washington, DC</w:t>
      </w:r>
    </w:p>
    <w:p w14:paraId="3589D592" w14:textId="77777777" w:rsidR="00DC296B" w:rsidRDefault="00AC362E">
      <w:pPr>
        <w:spacing w:after="20"/>
      </w:pPr>
      <w:r>
        <w:rPr>
          <w:b/>
          <w:bCs/>
          <w:sz w:val="22"/>
          <w:szCs w:val="22"/>
        </w:rPr>
        <w:t>2000 - 2001</w:t>
      </w:r>
    </w:p>
    <w:p w14:paraId="03D32194" w14:textId="77777777" w:rsidR="00DC296B" w:rsidRDefault="00AC362E">
      <w:pPr>
        <w:spacing w:after="120"/>
      </w:pPr>
      <w:r>
        <w:rPr>
          <w:sz w:val="22"/>
          <w:szCs w:val="22"/>
        </w:rPr>
        <w:t>Advised Fortune 500 clients on corporate strategy, M&amp;A, and competitive positioning; provided in-house training on competitive strategy for consultant development programs.</w:t>
      </w:r>
    </w:p>
    <w:p w14:paraId="55BBCE95" w14:textId="77777777" w:rsidR="00DC296B" w:rsidRDefault="00AC362E">
      <w:pPr>
        <w:spacing w:before="100" w:after="20"/>
      </w:pPr>
      <w:r>
        <w:rPr>
          <w:b/>
          <w:bCs/>
          <w:sz w:val="22"/>
          <w:szCs w:val="22"/>
        </w:rPr>
        <w:t>Associate Attorney, Shearman &amp; Sterling LLP, Washington, DC</w:t>
      </w:r>
    </w:p>
    <w:p w14:paraId="20F0FD3A" w14:textId="77777777" w:rsidR="00DC296B" w:rsidRDefault="00AC362E">
      <w:pPr>
        <w:spacing w:after="20"/>
      </w:pPr>
      <w:r>
        <w:rPr>
          <w:b/>
          <w:bCs/>
          <w:sz w:val="22"/>
          <w:szCs w:val="22"/>
        </w:rPr>
        <w:t>1995 - 2000</w:t>
      </w:r>
    </w:p>
    <w:p w14:paraId="582F5E67" w14:textId="77777777" w:rsidR="00DC296B" w:rsidRDefault="00AC362E">
      <w:pPr>
        <w:spacing w:after="120"/>
      </w:pPr>
      <w:r>
        <w:rPr>
          <w:sz w:val="22"/>
          <w:szCs w:val="22"/>
        </w:rPr>
        <w:t>Practiced international trade litigation and represented sovereigns and multinational corporations before U.S. trade agencies and federal courts.</w:t>
      </w:r>
    </w:p>
    <w:p w14:paraId="2C45886F" w14:textId="77777777" w:rsidR="00DC296B" w:rsidRDefault="00DC296B">
      <w:pPr>
        <w:pBdr>
          <w:bottom w:val="single" w:sz="6" w:space="4" w:color="999999"/>
        </w:pBdr>
        <w:spacing w:before="120" w:after="200"/>
      </w:pPr>
    </w:p>
    <w:p w14:paraId="028FDD33" w14:textId="77777777" w:rsidR="00DC296B" w:rsidRDefault="00AC362E">
      <w:pPr>
        <w:spacing w:before="260" w:after="140"/>
      </w:pPr>
      <w:r>
        <w:rPr>
          <w:b/>
          <w:bCs/>
          <w:sz w:val="26"/>
          <w:szCs w:val="26"/>
        </w:rPr>
        <w:t>TEACHING &amp; ACADEMIC APPOINTMENTS</w:t>
      </w:r>
    </w:p>
    <w:p w14:paraId="64259CF4" w14:textId="77777777" w:rsidR="00DC296B" w:rsidRDefault="00AC362E">
      <w:pPr>
        <w:spacing w:before="80" w:after="10"/>
      </w:pPr>
      <w:r>
        <w:rPr>
          <w:b/>
          <w:bCs/>
          <w:sz w:val="22"/>
          <w:szCs w:val="22"/>
        </w:rPr>
        <w:t>Massachusetts Institute of Technology - Sloan School of Management</w:t>
      </w:r>
    </w:p>
    <w:p w14:paraId="12033C06" w14:textId="77777777" w:rsidR="00DC296B" w:rsidRDefault="00AC362E">
      <w:pPr>
        <w:spacing w:after="120"/>
      </w:pPr>
      <w:r>
        <w:rPr>
          <w:sz w:val="22"/>
          <w:szCs w:val="22"/>
        </w:rPr>
        <w:t>Senior Lecturer - Sloan Fellows Program (Summer 2011); MBA Program (2004)</w:t>
      </w:r>
    </w:p>
    <w:p w14:paraId="21227492" w14:textId="77777777" w:rsidR="00DC296B" w:rsidRDefault="00AC362E">
      <w:pPr>
        <w:spacing w:before="80" w:after="10"/>
      </w:pPr>
      <w:r>
        <w:rPr>
          <w:b/>
          <w:bCs/>
          <w:sz w:val="22"/>
          <w:szCs w:val="22"/>
        </w:rPr>
        <w:t>Georgetown University - McDonough School of Business</w:t>
      </w:r>
    </w:p>
    <w:p w14:paraId="41DEB5F8" w14:textId="77777777" w:rsidR="00DC296B" w:rsidRDefault="00AC362E">
      <w:pPr>
        <w:spacing w:after="120"/>
      </w:pPr>
      <w:r>
        <w:rPr>
          <w:sz w:val="22"/>
          <w:szCs w:val="22"/>
        </w:rPr>
        <w:t>Adjunct Professor (2007-2009) - Courses: Competitive Strategy; Applied Economics</w:t>
      </w:r>
    </w:p>
    <w:p w14:paraId="17F7B606" w14:textId="77777777" w:rsidR="00DC296B" w:rsidRDefault="00AC362E">
      <w:pPr>
        <w:spacing w:before="80" w:after="10"/>
      </w:pPr>
      <w:r>
        <w:rPr>
          <w:b/>
          <w:bCs/>
          <w:sz w:val="22"/>
          <w:szCs w:val="22"/>
        </w:rPr>
        <w:t>University of Maryland - Robert H. Smith School of Business</w:t>
      </w:r>
    </w:p>
    <w:p w14:paraId="150ED03C" w14:textId="77777777" w:rsidR="00DC296B" w:rsidRDefault="00AC362E">
      <w:pPr>
        <w:spacing w:after="120"/>
      </w:pPr>
      <w:r>
        <w:rPr>
          <w:sz w:val="22"/>
          <w:szCs w:val="22"/>
        </w:rPr>
        <w:t>Adjunct Professor (2006-2011) - Top 15% Teaching Award (2006)</w:t>
      </w:r>
    </w:p>
    <w:p w14:paraId="74574F48" w14:textId="77777777" w:rsidR="00DC296B" w:rsidRDefault="00AC362E">
      <w:pPr>
        <w:spacing w:before="80" w:after="10"/>
      </w:pPr>
      <w:r>
        <w:rPr>
          <w:b/>
          <w:bCs/>
          <w:sz w:val="22"/>
          <w:szCs w:val="22"/>
        </w:rPr>
        <w:t>McKinsey &amp; Company</w:t>
      </w:r>
    </w:p>
    <w:p w14:paraId="548973EB" w14:textId="77777777" w:rsidR="00DC296B" w:rsidRDefault="00AC362E">
      <w:pPr>
        <w:spacing w:after="120"/>
      </w:pPr>
      <w:r>
        <w:rPr>
          <w:sz w:val="22"/>
          <w:szCs w:val="22"/>
        </w:rPr>
        <w:t>Instructor, Internal Training Programs (2000-2001) - Focus: Competitive strategy and market structure</w:t>
      </w:r>
    </w:p>
    <w:p w14:paraId="3830D477" w14:textId="77777777" w:rsidR="00DC296B" w:rsidRDefault="00AC362E">
      <w:pPr>
        <w:spacing w:before="80" w:after="10"/>
      </w:pPr>
      <w:r>
        <w:rPr>
          <w:b/>
          <w:bCs/>
          <w:sz w:val="22"/>
          <w:szCs w:val="22"/>
        </w:rPr>
        <w:t>University of Michigan Law School</w:t>
      </w:r>
    </w:p>
    <w:p w14:paraId="4453A7C1" w14:textId="77777777" w:rsidR="00DC296B" w:rsidRDefault="00AC362E">
      <w:pPr>
        <w:spacing w:after="120"/>
      </w:pPr>
      <w:r>
        <w:rPr>
          <w:sz w:val="22"/>
          <w:szCs w:val="22"/>
        </w:rPr>
        <w:t>Legal Writing Instructor (1994-1995)</w:t>
      </w:r>
    </w:p>
    <w:p w14:paraId="58577EBD" w14:textId="77777777" w:rsidR="00DC296B" w:rsidRDefault="00AC362E">
      <w:pPr>
        <w:spacing w:before="80" w:after="10"/>
      </w:pPr>
      <w:r>
        <w:rPr>
          <w:b/>
          <w:bCs/>
          <w:sz w:val="22"/>
          <w:szCs w:val="22"/>
        </w:rPr>
        <w:t>University of Michigan - Ross School of Business</w:t>
      </w:r>
    </w:p>
    <w:p w14:paraId="2FA5FA85" w14:textId="77777777" w:rsidR="00DC296B" w:rsidRDefault="00AC362E">
      <w:pPr>
        <w:spacing w:after="120"/>
      </w:pPr>
      <w:r>
        <w:rPr>
          <w:sz w:val="22"/>
          <w:szCs w:val="22"/>
        </w:rPr>
        <w:t>Instructor (1994-1995) - Courses: Microeconomics; Macroeconomics</w:t>
      </w:r>
    </w:p>
    <w:p w14:paraId="0D887C56" w14:textId="77777777" w:rsidR="00DC296B" w:rsidRDefault="00AC362E">
      <w:pPr>
        <w:spacing w:before="80" w:after="10"/>
      </w:pPr>
      <w:r>
        <w:rPr>
          <w:b/>
          <w:bCs/>
          <w:sz w:val="22"/>
          <w:szCs w:val="22"/>
        </w:rPr>
        <w:t>University of Wisconsin-Madison, Department of Economics</w:t>
      </w:r>
    </w:p>
    <w:p w14:paraId="4816B5AD" w14:textId="77777777" w:rsidR="00DC296B" w:rsidRDefault="00AC362E">
      <w:pPr>
        <w:spacing w:after="120"/>
      </w:pPr>
      <w:r>
        <w:rPr>
          <w:sz w:val="22"/>
          <w:szCs w:val="22"/>
        </w:rPr>
        <w:t>Instructor (Summer 1994) - Course: Microeconomics</w:t>
      </w:r>
    </w:p>
    <w:p w14:paraId="2A447DCC" w14:textId="77777777" w:rsidR="00DC296B" w:rsidRDefault="00AC362E">
      <w:pPr>
        <w:spacing w:before="80" w:after="10"/>
      </w:pPr>
      <w:r>
        <w:rPr>
          <w:b/>
          <w:bCs/>
          <w:sz w:val="22"/>
          <w:szCs w:val="22"/>
        </w:rPr>
        <w:t>Textbook Editor</w:t>
      </w:r>
    </w:p>
    <w:p w14:paraId="209ACDAF" w14:textId="77777777" w:rsidR="00DC296B" w:rsidRDefault="00AC362E">
      <w:pPr>
        <w:spacing w:after="120"/>
      </w:pPr>
      <w:r>
        <w:rPr>
          <w:sz w:val="22"/>
          <w:szCs w:val="22"/>
        </w:rPr>
        <w:t>Legal Problems of International Economic Relations, 2nd Edition, by John Jackson, William Davey, and Alan Sykes (1994-1995)</w:t>
      </w:r>
    </w:p>
    <w:p w14:paraId="6DD16C7E" w14:textId="77777777" w:rsidR="00DC296B" w:rsidRDefault="00AC362E">
      <w:pPr>
        <w:spacing w:before="80" w:after="10"/>
      </w:pPr>
      <w:r>
        <w:rPr>
          <w:b/>
          <w:bCs/>
          <w:sz w:val="22"/>
          <w:szCs w:val="22"/>
        </w:rPr>
        <w:t>Textbook Editor</w:t>
      </w:r>
    </w:p>
    <w:p w14:paraId="163C0746" w14:textId="77777777" w:rsidR="00DC296B" w:rsidRDefault="00AC362E">
      <w:pPr>
        <w:spacing w:after="120"/>
      </w:pPr>
      <w:r>
        <w:rPr>
          <w:sz w:val="22"/>
          <w:szCs w:val="22"/>
        </w:rPr>
        <w:lastRenderedPageBreak/>
        <w:t>Macroeconomics, 6th Edition, by Rudiger Dornbusch and Stanley Fischer (1991-1993)</w:t>
      </w:r>
    </w:p>
    <w:p w14:paraId="17EFD8AE" w14:textId="77777777" w:rsidR="00DC296B" w:rsidRDefault="00DC296B">
      <w:pPr>
        <w:pBdr>
          <w:bottom w:val="single" w:sz="6" w:space="4" w:color="999999"/>
        </w:pBdr>
        <w:spacing w:before="120" w:after="200"/>
      </w:pPr>
    </w:p>
    <w:p w14:paraId="6758534A" w14:textId="77777777" w:rsidR="00DC296B" w:rsidRDefault="00AC362E">
      <w:pPr>
        <w:spacing w:before="260" w:after="140"/>
      </w:pPr>
      <w:r>
        <w:rPr>
          <w:b/>
          <w:bCs/>
          <w:sz w:val="26"/>
          <w:szCs w:val="26"/>
        </w:rPr>
        <w:t>PROFESSIONAL ASSOCIATIONS/MEMBERSHIPS</w:t>
      </w:r>
    </w:p>
    <w:p w14:paraId="4280340B" w14:textId="77777777" w:rsidR="00DC296B" w:rsidRDefault="00AC362E">
      <w:pPr>
        <w:pStyle w:val="ListParagraph"/>
        <w:numPr>
          <w:ilvl w:val="0"/>
          <w:numId w:val="1"/>
        </w:numPr>
        <w:spacing w:after="120"/>
      </w:pPr>
      <w:r>
        <w:rPr>
          <w:sz w:val="22"/>
          <w:szCs w:val="22"/>
        </w:rPr>
        <w:t>National Association of Forensic Economics</w:t>
      </w:r>
    </w:p>
    <w:p w14:paraId="4B5974FE" w14:textId="77777777" w:rsidR="00DC296B" w:rsidRDefault="00AC362E">
      <w:pPr>
        <w:pStyle w:val="ListParagraph"/>
        <w:numPr>
          <w:ilvl w:val="0"/>
          <w:numId w:val="1"/>
        </w:numPr>
        <w:spacing w:after="120"/>
      </w:pPr>
      <w:r>
        <w:rPr>
          <w:sz w:val="22"/>
          <w:szCs w:val="22"/>
        </w:rPr>
        <w:t>American Economic Association</w:t>
      </w:r>
    </w:p>
    <w:p w14:paraId="41EA1CCC" w14:textId="77777777" w:rsidR="00DC296B" w:rsidRDefault="00AC362E">
      <w:pPr>
        <w:pStyle w:val="ListParagraph"/>
        <w:numPr>
          <w:ilvl w:val="0"/>
          <w:numId w:val="1"/>
        </w:numPr>
        <w:spacing w:after="120"/>
      </w:pPr>
      <w:r>
        <w:rPr>
          <w:sz w:val="22"/>
          <w:szCs w:val="22"/>
        </w:rPr>
        <w:t>American Bar Association</w:t>
      </w:r>
    </w:p>
    <w:p w14:paraId="4D5FA6DC" w14:textId="77777777" w:rsidR="00DC296B" w:rsidRDefault="00AC362E">
      <w:pPr>
        <w:pStyle w:val="ListParagraph"/>
        <w:numPr>
          <w:ilvl w:val="0"/>
          <w:numId w:val="1"/>
        </w:numPr>
        <w:spacing w:after="120"/>
      </w:pPr>
      <w:r>
        <w:rPr>
          <w:sz w:val="22"/>
          <w:szCs w:val="22"/>
        </w:rPr>
        <w:t>American Intellectual Property Law Association</w:t>
      </w:r>
    </w:p>
    <w:p w14:paraId="69911D36" w14:textId="77777777" w:rsidR="00DC296B" w:rsidRDefault="00AC362E">
      <w:pPr>
        <w:pStyle w:val="ListParagraph"/>
        <w:numPr>
          <w:ilvl w:val="0"/>
          <w:numId w:val="1"/>
        </w:numPr>
        <w:spacing w:after="120"/>
      </w:pPr>
      <w:r>
        <w:rPr>
          <w:sz w:val="22"/>
          <w:szCs w:val="22"/>
        </w:rPr>
        <w:t>Licensing Executives Society</w:t>
      </w:r>
    </w:p>
    <w:p w14:paraId="7F1A91E8" w14:textId="77777777" w:rsidR="00DC296B" w:rsidRDefault="00AC362E">
      <w:pPr>
        <w:pStyle w:val="ListParagraph"/>
        <w:numPr>
          <w:ilvl w:val="0"/>
          <w:numId w:val="1"/>
        </w:numPr>
        <w:spacing w:after="120"/>
      </w:pPr>
      <w:r>
        <w:rPr>
          <w:sz w:val="22"/>
          <w:szCs w:val="22"/>
        </w:rPr>
        <w:t>Member, Bar of the Supreme Court of the United States</w:t>
      </w:r>
    </w:p>
    <w:p w14:paraId="395C63B3" w14:textId="77777777" w:rsidR="00DC296B" w:rsidRDefault="00AC362E">
      <w:pPr>
        <w:pStyle w:val="ListParagraph"/>
        <w:numPr>
          <w:ilvl w:val="0"/>
          <w:numId w:val="1"/>
        </w:numPr>
        <w:spacing w:after="120"/>
      </w:pPr>
      <w:r>
        <w:rPr>
          <w:sz w:val="22"/>
          <w:szCs w:val="22"/>
        </w:rPr>
        <w:t>Phi Beta Kappa</w:t>
      </w:r>
    </w:p>
    <w:p w14:paraId="28698B97" w14:textId="77777777" w:rsidR="00DC296B" w:rsidRDefault="00DC296B">
      <w:pPr>
        <w:pBdr>
          <w:bottom w:val="single" w:sz="6" w:space="4" w:color="999999"/>
        </w:pBdr>
        <w:spacing w:before="120" w:after="200"/>
      </w:pPr>
    </w:p>
    <w:p w14:paraId="741CF738" w14:textId="77777777" w:rsidR="00DC296B" w:rsidRDefault="00AC362E">
      <w:pPr>
        <w:spacing w:before="260" w:after="140"/>
      </w:pPr>
      <w:r>
        <w:rPr>
          <w:b/>
          <w:bCs/>
          <w:sz w:val="26"/>
          <w:szCs w:val="26"/>
        </w:rPr>
        <w:t>RESEARCH &amp; PUBLICATIONS</w:t>
      </w:r>
    </w:p>
    <w:p w14:paraId="1645179B" w14:textId="77777777" w:rsidR="00DC296B" w:rsidRDefault="00AC362E">
      <w:pPr>
        <w:pStyle w:val="ListParagraph"/>
        <w:numPr>
          <w:ilvl w:val="0"/>
          <w:numId w:val="1"/>
        </w:numPr>
        <w:spacing w:after="120"/>
      </w:pPr>
      <w:r>
        <w:rPr>
          <w:sz w:val="22"/>
          <w:szCs w:val="22"/>
        </w:rPr>
        <w:t xml:space="preserve">“Mending the Fence: Commercial Success &amp; the Blocking Patent Defense in Pharmaceutical Litigation,” (with John C. Jarosz, Andrea Hugill, and Anna Gumen) </w:t>
      </w:r>
      <w:r>
        <w:rPr>
          <w:i/>
          <w:iCs/>
          <w:sz w:val="22"/>
          <w:szCs w:val="22"/>
        </w:rPr>
        <w:t>AIPLA Quarterly Journal</w:t>
      </w:r>
      <w:r>
        <w:rPr>
          <w:sz w:val="22"/>
          <w:szCs w:val="22"/>
        </w:rPr>
        <w:t xml:space="preserve"> (Vol. 54, No. 1, Winter 2026).</w:t>
      </w:r>
    </w:p>
    <w:p w14:paraId="73A75D50" w14:textId="77777777" w:rsidR="00DC296B" w:rsidRDefault="00AC362E">
      <w:pPr>
        <w:pStyle w:val="ListParagraph"/>
        <w:numPr>
          <w:ilvl w:val="0"/>
          <w:numId w:val="1"/>
        </w:numPr>
        <w:spacing w:after="120"/>
      </w:pPr>
      <w:r>
        <w:rPr>
          <w:sz w:val="22"/>
          <w:szCs w:val="22"/>
        </w:rPr>
        <w:t xml:space="preserve">“The Incremental Value of Apportionment in Reasonable Royalty Patent Damages Analysis,” </w:t>
      </w:r>
      <w:r>
        <w:rPr>
          <w:i/>
          <w:iCs/>
          <w:sz w:val="22"/>
          <w:szCs w:val="22"/>
        </w:rPr>
        <w:t>Federal Circuit Bar Journal</w:t>
      </w:r>
      <w:r>
        <w:rPr>
          <w:sz w:val="22"/>
          <w:szCs w:val="22"/>
        </w:rPr>
        <w:t xml:space="preserve"> (Vol. 29, Issue 1, 2019).</w:t>
      </w:r>
    </w:p>
    <w:p w14:paraId="76B3B541" w14:textId="77777777" w:rsidR="00DC296B" w:rsidRDefault="00AC362E">
      <w:pPr>
        <w:pStyle w:val="ListParagraph"/>
        <w:numPr>
          <w:ilvl w:val="0"/>
          <w:numId w:val="1"/>
        </w:numPr>
        <w:spacing w:after="120"/>
      </w:pPr>
      <w:r>
        <w:rPr>
          <w:sz w:val="22"/>
          <w:szCs w:val="22"/>
        </w:rPr>
        <w:t xml:space="preserve">“Introduction to Lost Profits,” (with John Jarosz and Robert Vigil) </w:t>
      </w:r>
      <w:r>
        <w:rPr>
          <w:i/>
          <w:iCs/>
          <w:sz w:val="22"/>
          <w:szCs w:val="22"/>
        </w:rPr>
        <w:t>Lost Profits Damages: Principles, Methods, and Applications, 2d ed.</w:t>
      </w:r>
      <w:r>
        <w:rPr>
          <w:sz w:val="22"/>
          <w:szCs w:val="22"/>
        </w:rPr>
        <w:t xml:space="preserve"> (2017).</w:t>
      </w:r>
    </w:p>
    <w:p w14:paraId="673D6DBB" w14:textId="77777777" w:rsidR="00DC296B" w:rsidRDefault="00AC362E">
      <w:pPr>
        <w:pStyle w:val="ListParagraph"/>
        <w:numPr>
          <w:ilvl w:val="0"/>
          <w:numId w:val="1"/>
        </w:numPr>
        <w:spacing w:after="120"/>
      </w:pPr>
      <w:r>
        <w:rPr>
          <w:sz w:val="22"/>
          <w:szCs w:val="22"/>
        </w:rPr>
        <w:t xml:space="preserve">“U.S.: Economics,” (with Tasneem Chipty) </w:t>
      </w:r>
      <w:r>
        <w:rPr>
          <w:i/>
          <w:iCs/>
          <w:sz w:val="22"/>
          <w:szCs w:val="22"/>
        </w:rPr>
        <w:t>Global Competition Review, The Antitrust Review of the Americas 2016</w:t>
      </w:r>
      <w:r>
        <w:rPr>
          <w:sz w:val="22"/>
          <w:szCs w:val="22"/>
        </w:rPr>
        <w:t>.</w:t>
      </w:r>
    </w:p>
    <w:p w14:paraId="3AA78729" w14:textId="77777777" w:rsidR="00DC296B" w:rsidRDefault="00AC362E">
      <w:pPr>
        <w:pStyle w:val="ListParagraph"/>
        <w:numPr>
          <w:ilvl w:val="0"/>
          <w:numId w:val="1"/>
        </w:numPr>
        <w:spacing w:after="120"/>
      </w:pPr>
      <w:r>
        <w:rPr>
          <w:sz w:val="22"/>
          <w:szCs w:val="22"/>
        </w:rPr>
        <w:t xml:space="preserve">“Response to Rejoinder: Clearing Up The Confusion,” (with John C. Jarosz) </w:t>
      </w:r>
      <w:r>
        <w:rPr>
          <w:i/>
          <w:iCs/>
          <w:sz w:val="22"/>
          <w:szCs w:val="22"/>
        </w:rPr>
        <w:t>Law360 (IP, Technology, Appellate, and California Law360)</w:t>
      </w:r>
      <w:r>
        <w:rPr>
          <w:sz w:val="22"/>
          <w:szCs w:val="22"/>
        </w:rPr>
        <w:t xml:space="preserve"> (September 3, 2015).</w:t>
      </w:r>
    </w:p>
    <w:p w14:paraId="47F8FCC5" w14:textId="77777777" w:rsidR="00DC296B" w:rsidRDefault="00AC362E">
      <w:pPr>
        <w:pStyle w:val="ListParagraph"/>
        <w:numPr>
          <w:ilvl w:val="0"/>
          <w:numId w:val="1"/>
        </w:numPr>
        <w:spacing w:after="120"/>
      </w:pPr>
      <w:r>
        <w:rPr>
          <w:sz w:val="22"/>
          <w:szCs w:val="22"/>
        </w:rPr>
        <w:t xml:space="preserve">“Rebuttal: It's Not An Inappropriate Reasonable Royalty Rule,” (with John C. Jarosz) </w:t>
      </w:r>
      <w:r>
        <w:rPr>
          <w:i/>
          <w:iCs/>
          <w:sz w:val="22"/>
          <w:szCs w:val="22"/>
        </w:rPr>
        <w:t>Law360 (IP, Technology, Appellate, and California Law360)</w:t>
      </w:r>
      <w:r>
        <w:rPr>
          <w:sz w:val="22"/>
          <w:szCs w:val="22"/>
        </w:rPr>
        <w:t xml:space="preserve"> (August 24, 2015).</w:t>
      </w:r>
    </w:p>
    <w:p w14:paraId="3605F958" w14:textId="77777777" w:rsidR="00DC296B" w:rsidRDefault="00AC362E">
      <w:pPr>
        <w:pStyle w:val="ListParagraph"/>
        <w:numPr>
          <w:ilvl w:val="0"/>
          <w:numId w:val="1"/>
        </w:numPr>
        <w:spacing w:after="120"/>
      </w:pPr>
      <w:r>
        <w:rPr>
          <w:sz w:val="22"/>
          <w:szCs w:val="22"/>
        </w:rPr>
        <w:t xml:space="preserve">“Problems With Hypothesizing a Reasonable Royalty Negotiation,” (with John C. Jarosz) </w:t>
      </w:r>
      <w:r>
        <w:rPr>
          <w:i/>
          <w:iCs/>
          <w:sz w:val="22"/>
          <w:szCs w:val="22"/>
        </w:rPr>
        <w:t>IP Law 360</w:t>
      </w:r>
      <w:r>
        <w:rPr>
          <w:sz w:val="22"/>
          <w:szCs w:val="22"/>
        </w:rPr>
        <w:t xml:space="preserve"> (January 7, 2014).</w:t>
      </w:r>
    </w:p>
    <w:p w14:paraId="1E3B6E67" w14:textId="77777777" w:rsidR="00DC296B" w:rsidRDefault="00AC362E">
      <w:pPr>
        <w:pStyle w:val="ListParagraph"/>
        <w:numPr>
          <w:ilvl w:val="0"/>
          <w:numId w:val="1"/>
        </w:numPr>
        <w:spacing w:after="120"/>
      </w:pPr>
      <w:r>
        <w:rPr>
          <w:sz w:val="22"/>
          <w:szCs w:val="22"/>
        </w:rPr>
        <w:t xml:space="preserve">“The Hypothetical Negotiation and Reasonable Royalty Damages: The Tail Wagging the Dog,” (with John C. Jarosz) </w:t>
      </w:r>
      <w:r>
        <w:rPr>
          <w:i/>
          <w:iCs/>
          <w:sz w:val="22"/>
          <w:szCs w:val="22"/>
        </w:rPr>
        <w:t>Stanford Technology Law Review</w:t>
      </w:r>
      <w:r>
        <w:rPr>
          <w:sz w:val="22"/>
          <w:szCs w:val="22"/>
        </w:rPr>
        <w:t xml:space="preserve"> (Vol. 16, No. 3, Spring 2013).</w:t>
      </w:r>
    </w:p>
    <w:p w14:paraId="69071931" w14:textId="77777777" w:rsidR="00DC296B" w:rsidRDefault="00AC362E">
      <w:pPr>
        <w:pStyle w:val="ListParagraph"/>
        <w:numPr>
          <w:ilvl w:val="0"/>
          <w:numId w:val="1"/>
        </w:numPr>
        <w:spacing w:after="120"/>
      </w:pPr>
      <w:r>
        <w:rPr>
          <w:sz w:val="22"/>
          <w:szCs w:val="22"/>
        </w:rPr>
        <w:t xml:space="preserve">“Averting a Collision Over Patent Settlement Licenses,” </w:t>
      </w:r>
      <w:r>
        <w:rPr>
          <w:i/>
          <w:iCs/>
          <w:sz w:val="22"/>
          <w:szCs w:val="22"/>
        </w:rPr>
        <w:t>IP Law 360</w:t>
      </w:r>
      <w:r>
        <w:rPr>
          <w:sz w:val="22"/>
          <w:szCs w:val="22"/>
        </w:rPr>
        <w:t xml:space="preserve"> (April 5, 2012).</w:t>
      </w:r>
    </w:p>
    <w:p w14:paraId="505E5A58" w14:textId="77777777" w:rsidR="00DC296B" w:rsidRDefault="00AC362E">
      <w:pPr>
        <w:pStyle w:val="ListParagraph"/>
        <w:numPr>
          <w:ilvl w:val="0"/>
          <w:numId w:val="1"/>
        </w:numPr>
        <w:spacing w:after="120"/>
      </w:pPr>
      <w:r>
        <w:rPr>
          <w:sz w:val="22"/>
          <w:szCs w:val="22"/>
        </w:rPr>
        <w:t xml:space="preserve">“Using Settlement Licenses in Reasonable Royalty Determinations,” </w:t>
      </w:r>
      <w:r>
        <w:rPr>
          <w:i/>
          <w:iCs/>
          <w:sz w:val="22"/>
          <w:szCs w:val="22"/>
        </w:rPr>
        <w:t>IDEA: The Intellectual Property Law Review</w:t>
      </w:r>
      <w:r>
        <w:rPr>
          <w:sz w:val="22"/>
          <w:szCs w:val="22"/>
        </w:rPr>
        <w:t xml:space="preserve"> (Vol. 49, No. 3, 2009).</w:t>
      </w:r>
    </w:p>
    <w:p w14:paraId="4EBCD13D" w14:textId="77777777" w:rsidR="00DC296B" w:rsidRDefault="00AC362E">
      <w:pPr>
        <w:pStyle w:val="ListParagraph"/>
        <w:numPr>
          <w:ilvl w:val="0"/>
          <w:numId w:val="1"/>
        </w:numPr>
        <w:spacing w:after="120"/>
      </w:pPr>
      <w:r>
        <w:rPr>
          <w:sz w:val="22"/>
          <w:szCs w:val="22"/>
        </w:rPr>
        <w:t xml:space="preserve">“The Economic Implications (and Uncertainties) of Obtaining Permanent Injunction Relief after eBay v. MercExchange,” (with Douglas Ellis, John Jarosz, and Scott Oliver) </w:t>
      </w:r>
      <w:r>
        <w:rPr>
          <w:i/>
          <w:iCs/>
          <w:sz w:val="22"/>
          <w:szCs w:val="22"/>
        </w:rPr>
        <w:t>Federal Circuit Bar Journal</w:t>
      </w:r>
      <w:r>
        <w:rPr>
          <w:sz w:val="22"/>
          <w:szCs w:val="22"/>
        </w:rPr>
        <w:t xml:space="preserve"> (Vol. 17, No. 4, 2008).</w:t>
      </w:r>
    </w:p>
    <w:p w14:paraId="3CB3E0E2" w14:textId="77777777" w:rsidR="00DC296B" w:rsidRDefault="00AC362E">
      <w:pPr>
        <w:pStyle w:val="ListParagraph"/>
        <w:numPr>
          <w:ilvl w:val="0"/>
          <w:numId w:val="1"/>
        </w:numPr>
        <w:spacing w:after="120"/>
      </w:pPr>
      <w:r>
        <w:rPr>
          <w:sz w:val="22"/>
          <w:szCs w:val="22"/>
        </w:rPr>
        <w:t xml:space="preserve">“Application of Game Theory to Intellectual Property Royalty Negotiations,” (with John C. Jarosz) </w:t>
      </w:r>
      <w:r>
        <w:rPr>
          <w:i/>
          <w:iCs/>
          <w:sz w:val="22"/>
          <w:szCs w:val="22"/>
        </w:rPr>
        <w:t>Licensing Best Practices: Strategic, Territorial and Technology Issues</w:t>
      </w:r>
      <w:r>
        <w:rPr>
          <w:sz w:val="22"/>
          <w:szCs w:val="22"/>
        </w:rPr>
        <w:t xml:space="preserve"> (2006).</w:t>
      </w:r>
    </w:p>
    <w:p w14:paraId="5BC72221" w14:textId="77777777" w:rsidR="00DC296B" w:rsidRDefault="00AC362E">
      <w:pPr>
        <w:pStyle w:val="ListParagraph"/>
        <w:numPr>
          <w:ilvl w:val="0"/>
          <w:numId w:val="1"/>
        </w:numPr>
        <w:spacing w:after="120"/>
      </w:pPr>
      <w:r>
        <w:rPr>
          <w:sz w:val="22"/>
          <w:szCs w:val="22"/>
        </w:rPr>
        <w:t xml:space="preserve">“Liberalizing International Trade in Legal Services,” (with Paul Tauber) </w:t>
      </w:r>
      <w:r>
        <w:rPr>
          <w:i/>
          <w:iCs/>
          <w:sz w:val="22"/>
          <w:szCs w:val="22"/>
        </w:rPr>
        <w:t>Michigan Journal of International Law</w:t>
      </w:r>
      <w:r>
        <w:rPr>
          <w:sz w:val="22"/>
          <w:szCs w:val="22"/>
        </w:rPr>
        <w:t xml:space="preserve"> (Vol. 16, Spring 1995).</w:t>
      </w:r>
    </w:p>
    <w:p w14:paraId="017538A3" w14:textId="77777777" w:rsidR="00DC296B" w:rsidRDefault="00AC362E">
      <w:pPr>
        <w:pStyle w:val="ListParagraph"/>
        <w:numPr>
          <w:ilvl w:val="0"/>
          <w:numId w:val="1"/>
        </w:numPr>
        <w:spacing w:after="120"/>
      </w:pPr>
      <w:r>
        <w:rPr>
          <w:sz w:val="22"/>
          <w:szCs w:val="22"/>
        </w:rPr>
        <w:t xml:space="preserve">“Economic Integration and the Pattern of Trade,” </w:t>
      </w:r>
      <w:r>
        <w:rPr>
          <w:i/>
          <w:iCs/>
          <w:sz w:val="22"/>
          <w:szCs w:val="22"/>
        </w:rPr>
        <w:t>Ph.D. Dissertation</w:t>
      </w:r>
      <w:r>
        <w:rPr>
          <w:sz w:val="22"/>
          <w:szCs w:val="22"/>
        </w:rPr>
        <w:t xml:space="preserve"> (1992).</w:t>
      </w:r>
    </w:p>
    <w:p w14:paraId="090A873B" w14:textId="77777777" w:rsidR="00DC296B" w:rsidRDefault="00DC296B">
      <w:pPr>
        <w:pBdr>
          <w:bottom w:val="single" w:sz="6" w:space="4" w:color="999999"/>
        </w:pBdr>
        <w:spacing w:before="120" w:after="200"/>
      </w:pPr>
    </w:p>
    <w:p w14:paraId="73F296E2" w14:textId="77777777" w:rsidR="00DC296B" w:rsidRDefault="00AC362E">
      <w:pPr>
        <w:spacing w:before="260" w:after="140"/>
      </w:pPr>
      <w:r>
        <w:rPr>
          <w:b/>
          <w:bCs/>
          <w:sz w:val="26"/>
          <w:szCs w:val="26"/>
        </w:rPr>
        <w:t>SPEECHES &amp; COURSES</w:t>
      </w:r>
    </w:p>
    <w:p w14:paraId="3C934723" w14:textId="77777777" w:rsidR="00DC296B" w:rsidRDefault="00AC362E">
      <w:pPr>
        <w:pStyle w:val="ListParagraph"/>
        <w:numPr>
          <w:ilvl w:val="0"/>
          <w:numId w:val="1"/>
        </w:numPr>
        <w:spacing w:after="120"/>
      </w:pPr>
      <w:r>
        <w:rPr>
          <w:sz w:val="22"/>
          <w:szCs w:val="22"/>
        </w:rPr>
        <w:t>“A Comprehensive Guide on Apportioning Patent Damages: Tips and Strategies Explored,” The Knowledge Group, November 2019 (with Eric Phillips)</w:t>
      </w:r>
    </w:p>
    <w:p w14:paraId="791CE2A7" w14:textId="77777777" w:rsidR="00DC296B" w:rsidRDefault="00AC362E">
      <w:pPr>
        <w:pStyle w:val="ListParagraph"/>
        <w:numPr>
          <w:ilvl w:val="0"/>
          <w:numId w:val="1"/>
        </w:numPr>
        <w:spacing w:after="120"/>
      </w:pPr>
      <w:r>
        <w:rPr>
          <w:sz w:val="22"/>
          <w:szCs w:val="22"/>
        </w:rPr>
        <w:t>“Determining Royalty Damages in Patent Infringement: Practical Tips and Best Practices,” The Knowledge Group, April 2019 (with Jeffrey Stec and Krishnan Ramadas)</w:t>
      </w:r>
    </w:p>
    <w:p w14:paraId="643011CF" w14:textId="77777777" w:rsidR="00DC296B" w:rsidRDefault="00AC362E">
      <w:pPr>
        <w:pStyle w:val="ListParagraph"/>
        <w:numPr>
          <w:ilvl w:val="0"/>
          <w:numId w:val="1"/>
        </w:numPr>
        <w:spacing w:after="120"/>
      </w:pPr>
      <w:r>
        <w:rPr>
          <w:sz w:val="22"/>
          <w:szCs w:val="22"/>
        </w:rPr>
        <w:t>“Damages Apportionment in Patent Litigation: What You Must Know and Do in 2019,” The Knowledge Group, January 2019 (with Joel Wacek and Ronald Cahill)</w:t>
      </w:r>
    </w:p>
    <w:p w14:paraId="232816D4" w14:textId="77777777" w:rsidR="00DC296B" w:rsidRDefault="00AC362E">
      <w:pPr>
        <w:pStyle w:val="ListParagraph"/>
        <w:numPr>
          <w:ilvl w:val="0"/>
          <w:numId w:val="1"/>
        </w:numPr>
        <w:spacing w:after="120"/>
      </w:pPr>
      <w:r>
        <w:rPr>
          <w:sz w:val="22"/>
          <w:szCs w:val="22"/>
        </w:rPr>
        <w:t>“Economic Perspectives on Recent Patent Damages Rulings,” Silicon Valley Intellectual Property Law Association, May 2016 (with John Jarosz)</w:t>
      </w:r>
    </w:p>
    <w:p w14:paraId="54009AAE" w14:textId="77777777" w:rsidR="00DC296B" w:rsidRDefault="00AC362E">
      <w:pPr>
        <w:pStyle w:val="ListParagraph"/>
        <w:numPr>
          <w:ilvl w:val="0"/>
          <w:numId w:val="1"/>
        </w:numPr>
        <w:spacing w:after="120"/>
      </w:pPr>
      <w:r>
        <w:rPr>
          <w:sz w:val="22"/>
          <w:szCs w:val="22"/>
        </w:rPr>
        <w:t>“Patent Infringement Reasonable Royalty Damages: Apportion the Increment?,” Asian Pacific American Bar Association of Silicon Valley, November 2015 (with William Rooklidge, John Jarosz, and Richard Eichmann)</w:t>
      </w:r>
    </w:p>
    <w:p w14:paraId="363AF2FB" w14:textId="77777777" w:rsidR="00DC296B" w:rsidRDefault="00AC362E">
      <w:pPr>
        <w:pStyle w:val="ListParagraph"/>
        <w:numPr>
          <w:ilvl w:val="0"/>
          <w:numId w:val="1"/>
        </w:numPr>
        <w:spacing w:after="120"/>
      </w:pPr>
      <w:r>
        <w:rPr>
          <w:sz w:val="22"/>
          <w:szCs w:val="22"/>
        </w:rPr>
        <w:t>“Georgia-Pacific and the Hypothetical Negotiation: Is the Tail Wagging the Dog?,” Licensing Executives Society Washington DC Chapter Meeting, May 2012 (with John Jarosz)</w:t>
      </w:r>
    </w:p>
    <w:p w14:paraId="0E8864FF" w14:textId="77777777" w:rsidR="00DC296B" w:rsidRDefault="00AC362E">
      <w:pPr>
        <w:pStyle w:val="ListParagraph"/>
        <w:numPr>
          <w:ilvl w:val="0"/>
          <w:numId w:val="1"/>
        </w:numPr>
        <w:spacing w:after="120"/>
      </w:pPr>
      <w:r>
        <w:rPr>
          <w:sz w:val="22"/>
          <w:szCs w:val="22"/>
        </w:rPr>
        <w:t>“Economic Perspectives on Hatch Waxman,” The Food and Drug Law Institute (FDLI) Meeting, February 2009</w:t>
      </w:r>
    </w:p>
    <w:p w14:paraId="21974E00" w14:textId="77777777" w:rsidR="00DC296B" w:rsidRDefault="00AC362E">
      <w:pPr>
        <w:pStyle w:val="ListParagraph"/>
        <w:numPr>
          <w:ilvl w:val="0"/>
          <w:numId w:val="1"/>
        </w:numPr>
        <w:spacing w:after="120"/>
      </w:pPr>
      <w:r>
        <w:rPr>
          <w:sz w:val="22"/>
          <w:szCs w:val="22"/>
        </w:rPr>
        <w:t>“Economic Issues at the Intersection of Antitrust and Intellectual Property,” Locke Lord Bissell &amp; Liddell, LLP, May 7, 2008</w:t>
      </w:r>
    </w:p>
    <w:p w14:paraId="449814CA" w14:textId="77777777" w:rsidR="00DC296B" w:rsidRDefault="00DC296B">
      <w:pPr>
        <w:pageBreakBefore/>
      </w:pPr>
    </w:p>
    <w:p w14:paraId="19626B77" w14:textId="77777777" w:rsidR="00DC296B" w:rsidRDefault="00AC362E">
      <w:pPr>
        <w:spacing w:after="240"/>
        <w:jc w:val="center"/>
      </w:pPr>
      <w:r>
        <w:rPr>
          <w:b/>
          <w:bCs/>
          <w:sz w:val="26"/>
          <w:szCs w:val="26"/>
          <w:u w:val="single"/>
        </w:rPr>
        <w:t>OVERVIEW OF EXPERT ENGAGEMENTS</w:t>
      </w:r>
    </w:p>
    <w:p w14:paraId="6FC18527" w14:textId="77777777" w:rsidR="00DC296B" w:rsidRDefault="00AC362E">
      <w:pPr>
        <w:spacing w:before="260" w:after="140"/>
      </w:pPr>
      <w:r>
        <w:rPr>
          <w:b/>
          <w:bCs/>
          <w:sz w:val="26"/>
          <w:szCs w:val="26"/>
        </w:rPr>
        <w:t>TESTIFYING EXPERIENCE</w:t>
      </w:r>
    </w:p>
    <w:p w14:paraId="6E1E0999" w14:textId="77777777" w:rsidR="00DC296B" w:rsidRDefault="00AC362E">
      <w:pPr>
        <w:spacing w:before="140" w:after="10"/>
      </w:pPr>
      <w:r>
        <w:rPr>
          <w:b/>
          <w:bCs/>
          <w:i/>
          <w:iCs/>
          <w:sz w:val="22"/>
          <w:szCs w:val="22"/>
        </w:rPr>
        <w:t>Apangalook v. United States</w:t>
      </w:r>
    </w:p>
    <w:p w14:paraId="11632A19" w14:textId="77777777" w:rsidR="00DC296B" w:rsidRDefault="00AC362E">
      <w:pPr>
        <w:spacing w:after="10"/>
      </w:pPr>
      <w:r>
        <w:rPr>
          <w:i/>
          <w:iCs/>
          <w:sz w:val="22"/>
          <w:szCs w:val="22"/>
        </w:rPr>
        <w:t>United States District Court, District of Alaska (Anchorage)</w:t>
      </w:r>
    </w:p>
    <w:p w14:paraId="2452A9C5" w14:textId="77777777" w:rsidR="00DC296B" w:rsidRDefault="00AC362E">
      <w:pPr>
        <w:spacing w:after="10"/>
      </w:pPr>
      <w:r>
        <w:rPr>
          <w:sz w:val="22"/>
          <w:szCs w:val="22"/>
          <w:u w:val="single"/>
        </w:rPr>
        <w:t xml:space="preserve">Expert report: </w:t>
      </w:r>
      <w:r>
        <w:rPr>
          <w:sz w:val="22"/>
          <w:szCs w:val="22"/>
        </w:rPr>
        <w:t>Personal injury damages concerning injuries resulting from alleged medical malpractice.</w:t>
      </w:r>
    </w:p>
    <w:p w14:paraId="1247B63F" w14:textId="77777777" w:rsidR="00DC296B" w:rsidRDefault="00AC362E">
      <w:pPr>
        <w:spacing w:before="140" w:after="10"/>
      </w:pPr>
      <w:r>
        <w:rPr>
          <w:b/>
          <w:bCs/>
          <w:i/>
          <w:iCs/>
          <w:sz w:val="22"/>
          <w:szCs w:val="22"/>
        </w:rPr>
        <w:t>In re: Frontier Communications Corporation</w:t>
      </w:r>
    </w:p>
    <w:p w14:paraId="642753E5" w14:textId="77777777" w:rsidR="00DC296B" w:rsidRDefault="00AC362E">
      <w:pPr>
        <w:spacing w:after="10"/>
      </w:pPr>
      <w:r>
        <w:rPr>
          <w:i/>
          <w:iCs/>
          <w:sz w:val="22"/>
          <w:szCs w:val="22"/>
        </w:rPr>
        <w:t>United States Bankruptcy Court, Southern District of New York</w:t>
      </w:r>
    </w:p>
    <w:p w14:paraId="53CA5D32" w14:textId="77777777" w:rsidR="00DC296B" w:rsidRDefault="00AC362E">
      <w:pPr>
        <w:spacing w:after="10"/>
      </w:pPr>
      <w:r>
        <w:rPr>
          <w:sz w:val="22"/>
          <w:szCs w:val="22"/>
          <w:u w:val="single"/>
        </w:rPr>
        <w:t xml:space="preserve">Expert report and deposition testimony: </w:t>
      </w:r>
      <w:r>
        <w:rPr>
          <w:sz w:val="22"/>
          <w:szCs w:val="22"/>
        </w:rPr>
        <w:t>Copyright infringement damages concerning the failure by an internet service provider to prevent unlawful filesharing by its subscribers.</w:t>
      </w:r>
    </w:p>
    <w:p w14:paraId="15661B50" w14:textId="77777777" w:rsidR="00DC296B" w:rsidRDefault="00AC362E">
      <w:pPr>
        <w:spacing w:before="140" w:after="10"/>
      </w:pPr>
      <w:r>
        <w:rPr>
          <w:b/>
          <w:bCs/>
          <w:i/>
          <w:iCs/>
          <w:sz w:val="22"/>
          <w:szCs w:val="22"/>
        </w:rPr>
        <w:t>Kiyuklook, et al. v. United States</w:t>
      </w:r>
    </w:p>
    <w:p w14:paraId="09327EDE" w14:textId="77777777" w:rsidR="00DC296B" w:rsidRDefault="00AC362E">
      <w:pPr>
        <w:spacing w:after="10"/>
      </w:pPr>
      <w:r>
        <w:rPr>
          <w:i/>
          <w:iCs/>
          <w:sz w:val="22"/>
          <w:szCs w:val="22"/>
        </w:rPr>
        <w:t>United States District Court, District of Alaska (Anchorage)</w:t>
      </w:r>
    </w:p>
    <w:p w14:paraId="7139C3F7" w14:textId="77777777" w:rsidR="00DC296B" w:rsidRDefault="00AC362E">
      <w:pPr>
        <w:spacing w:after="10"/>
      </w:pPr>
      <w:r>
        <w:rPr>
          <w:sz w:val="22"/>
          <w:szCs w:val="22"/>
          <w:u w:val="single"/>
        </w:rPr>
        <w:t xml:space="preserve">Expert report: </w:t>
      </w:r>
      <w:r>
        <w:rPr>
          <w:sz w:val="22"/>
          <w:szCs w:val="22"/>
        </w:rPr>
        <w:t>Personal injury damages concerning injuries resulting from alleged medical malpractice.</w:t>
      </w:r>
    </w:p>
    <w:p w14:paraId="501FD935" w14:textId="77777777" w:rsidR="00DC296B" w:rsidRDefault="00AC362E">
      <w:pPr>
        <w:spacing w:before="140" w:after="10"/>
      </w:pPr>
      <w:r>
        <w:rPr>
          <w:b/>
          <w:bCs/>
          <w:i/>
          <w:iCs/>
          <w:sz w:val="22"/>
          <w:szCs w:val="22"/>
        </w:rPr>
        <w:t>Connell v. United States</w:t>
      </w:r>
    </w:p>
    <w:p w14:paraId="70DCB778" w14:textId="77777777" w:rsidR="00DC296B" w:rsidRDefault="00AC362E">
      <w:pPr>
        <w:spacing w:after="10"/>
      </w:pPr>
      <w:r>
        <w:rPr>
          <w:i/>
          <w:iCs/>
          <w:sz w:val="22"/>
          <w:szCs w:val="22"/>
        </w:rPr>
        <w:t>United States District Court, District of Alaska (Anchorage)</w:t>
      </w:r>
    </w:p>
    <w:p w14:paraId="5E77620A" w14:textId="77777777" w:rsidR="00DC296B" w:rsidRDefault="00AC362E">
      <w:pPr>
        <w:spacing w:after="10"/>
      </w:pPr>
      <w:r>
        <w:rPr>
          <w:sz w:val="22"/>
          <w:szCs w:val="22"/>
          <w:u w:val="single"/>
        </w:rPr>
        <w:t xml:space="preserve">Expert report: </w:t>
      </w:r>
      <w:r>
        <w:rPr>
          <w:sz w:val="22"/>
          <w:szCs w:val="22"/>
        </w:rPr>
        <w:t>Personal injury damages concerning injuries resulting from alleged medical malpractice.</w:t>
      </w:r>
    </w:p>
    <w:p w14:paraId="24F905C2" w14:textId="77777777" w:rsidR="00DC296B" w:rsidRDefault="00AC362E">
      <w:pPr>
        <w:spacing w:before="140" w:after="10"/>
      </w:pPr>
      <w:r>
        <w:rPr>
          <w:b/>
          <w:bCs/>
          <w:i/>
          <w:iCs/>
          <w:sz w:val="22"/>
          <w:szCs w:val="22"/>
        </w:rPr>
        <w:t>Acker, et al. v. United States</w:t>
      </w:r>
    </w:p>
    <w:p w14:paraId="005E9B14" w14:textId="77777777" w:rsidR="00DC296B" w:rsidRDefault="00AC362E">
      <w:pPr>
        <w:spacing w:after="10"/>
      </w:pPr>
      <w:r>
        <w:rPr>
          <w:i/>
          <w:iCs/>
          <w:sz w:val="22"/>
          <w:szCs w:val="22"/>
        </w:rPr>
        <w:t>United States District Court, District of Guam</w:t>
      </w:r>
    </w:p>
    <w:p w14:paraId="486FF933" w14:textId="77777777" w:rsidR="00DC296B" w:rsidRDefault="00AC362E">
      <w:pPr>
        <w:spacing w:after="10"/>
      </w:pPr>
      <w:r>
        <w:rPr>
          <w:sz w:val="22"/>
          <w:szCs w:val="22"/>
          <w:u w:val="single"/>
        </w:rPr>
        <w:t xml:space="preserve">Expert report and trial testimony: </w:t>
      </w:r>
      <w:r>
        <w:rPr>
          <w:sz w:val="22"/>
          <w:szCs w:val="22"/>
        </w:rPr>
        <w:t>Personal injury damages concerning injuries resulting from alleged medical malpractice.</w:t>
      </w:r>
    </w:p>
    <w:p w14:paraId="0AB7F672" w14:textId="77777777" w:rsidR="00DC296B" w:rsidRDefault="00AC362E">
      <w:pPr>
        <w:spacing w:before="140" w:after="10"/>
      </w:pPr>
      <w:r>
        <w:rPr>
          <w:b/>
          <w:bCs/>
          <w:i/>
          <w:iCs/>
          <w:sz w:val="22"/>
          <w:szCs w:val="22"/>
        </w:rPr>
        <w:t>Ashley M. Goldsborough, et al. v. United States</w:t>
      </w:r>
    </w:p>
    <w:p w14:paraId="4E7617E7" w14:textId="77777777" w:rsidR="00DC296B" w:rsidRDefault="00AC362E">
      <w:pPr>
        <w:spacing w:after="10"/>
      </w:pPr>
      <w:r>
        <w:rPr>
          <w:i/>
          <w:iCs/>
          <w:sz w:val="22"/>
          <w:szCs w:val="22"/>
        </w:rPr>
        <w:t>United States District Court for the Territory of Guam (Civil Action No. 1:21-CV-00028)</w:t>
      </w:r>
    </w:p>
    <w:p w14:paraId="237FE45E" w14:textId="77777777" w:rsidR="00DC296B" w:rsidRDefault="00AC362E">
      <w:pPr>
        <w:spacing w:after="10"/>
      </w:pPr>
      <w:r>
        <w:rPr>
          <w:sz w:val="22"/>
          <w:szCs w:val="22"/>
          <w:u w:val="single"/>
        </w:rPr>
        <w:t xml:space="preserve">Expert report: </w:t>
      </w:r>
      <w:r>
        <w:rPr>
          <w:sz w:val="22"/>
          <w:szCs w:val="22"/>
        </w:rPr>
        <w:t>Personal injury damages concerning injuries resulting from alleged medical malpractice.</w:t>
      </w:r>
    </w:p>
    <w:p w14:paraId="7C68AFC1" w14:textId="77777777" w:rsidR="00DC296B" w:rsidRDefault="00AC362E">
      <w:pPr>
        <w:spacing w:before="140" w:after="10"/>
      </w:pPr>
      <w:r>
        <w:rPr>
          <w:b/>
          <w:bCs/>
          <w:i/>
          <w:iCs/>
          <w:sz w:val="22"/>
          <w:szCs w:val="22"/>
        </w:rPr>
        <w:t>After II Movie, LLC, et al. v. Grande Communications Networks, LLC</w:t>
      </w:r>
    </w:p>
    <w:p w14:paraId="572B7580" w14:textId="77777777" w:rsidR="00DC296B" w:rsidRDefault="00AC362E">
      <w:pPr>
        <w:spacing w:after="10"/>
      </w:pPr>
      <w:r>
        <w:rPr>
          <w:i/>
          <w:iCs/>
          <w:sz w:val="22"/>
          <w:szCs w:val="22"/>
        </w:rPr>
        <w:t>United States District Court, Western District of Texas (Civil Action No. 1:21-CV-709-RP)</w:t>
      </w:r>
    </w:p>
    <w:p w14:paraId="3947890A" w14:textId="77777777" w:rsidR="00DC296B" w:rsidRDefault="00AC362E">
      <w:pPr>
        <w:spacing w:after="10"/>
      </w:pPr>
      <w:r>
        <w:rPr>
          <w:sz w:val="22"/>
          <w:szCs w:val="22"/>
          <w:u w:val="single"/>
        </w:rPr>
        <w:t xml:space="preserve">Expert report: </w:t>
      </w:r>
      <w:r>
        <w:rPr>
          <w:sz w:val="22"/>
          <w:szCs w:val="22"/>
        </w:rPr>
        <w:t>Copyright infringement damages concerning the failure by an internet service provider to prevent unlawful filesharing by its subscribers.</w:t>
      </w:r>
    </w:p>
    <w:p w14:paraId="086120CC" w14:textId="77777777" w:rsidR="00DC296B" w:rsidRDefault="00AC362E">
      <w:pPr>
        <w:spacing w:before="140" w:after="10"/>
      </w:pPr>
      <w:r>
        <w:rPr>
          <w:b/>
          <w:bCs/>
          <w:i/>
          <w:iCs/>
          <w:sz w:val="22"/>
          <w:szCs w:val="22"/>
        </w:rPr>
        <w:t>Confidential Matter</w:t>
      </w:r>
    </w:p>
    <w:p w14:paraId="1133F59F" w14:textId="77777777" w:rsidR="00DC296B" w:rsidRDefault="00AC362E">
      <w:pPr>
        <w:spacing w:after="10"/>
      </w:pPr>
      <w:r>
        <w:rPr>
          <w:i/>
          <w:iCs/>
          <w:sz w:val="22"/>
          <w:szCs w:val="22"/>
        </w:rPr>
        <w:t>United States District Court, District of South Carolina</w:t>
      </w:r>
    </w:p>
    <w:p w14:paraId="1162A17E" w14:textId="77777777" w:rsidR="00DC296B" w:rsidRDefault="00AC362E">
      <w:pPr>
        <w:spacing w:after="10"/>
      </w:pPr>
      <w:r>
        <w:rPr>
          <w:sz w:val="22"/>
          <w:szCs w:val="22"/>
          <w:u w:val="single"/>
        </w:rPr>
        <w:t xml:space="preserve">Settlement report: </w:t>
      </w:r>
      <w:r>
        <w:rPr>
          <w:sz w:val="22"/>
          <w:szCs w:val="22"/>
        </w:rPr>
        <w:t>Personal injury damages in a mass tort matter.</w:t>
      </w:r>
    </w:p>
    <w:p w14:paraId="0FDA1241" w14:textId="77777777" w:rsidR="00DC296B" w:rsidRDefault="00AC362E">
      <w:pPr>
        <w:spacing w:before="140" w:after="10"/>
      </w:pPr>
      <w:r>
        <w:rPr>
          <w:b/>
          <w:bCs/>
          <w:i/>
          <w:iCs/>
          <w:sz w:val="22"/>
          <w:szCs w:val="22"/>
        </w:rPr>
        <w:t>Kolcraft Enterprises, Inc. v. Chicco USA, Inc.</w:t>
      </w:r>
    </w:p>
    <w:p w14:paraId="3BFAF2EC" w14:textId="77777777" w:rsidR="00DC296B" w:rsidRDefault="00AC362E">
      <w:pPr>
        <w:spacing w:after="10"/>
      </w:pPr>
      <w:r>
        <w:rPr>
          <w:i/>
          <w:iCs/>
          <w:sz w:val="22"/>
          <w:szCs w:val="22"/>
        </w:rPr>
        <w:t>United States District Court, Northern District of Illinois, Eastern Division (Civil Action No. 1:09-cv-03339)</w:t>
      </w:r>
    </w:p>
    <w:p w14:paraId="25462120" w14:textId="77777777" w:rsidR="00DC296B" w:rsidRDefault="00AC362E">
      <w:pPr>
        <w:spacing w:after="10"/>
      </w:pPr>
      <w:r>
        <w:rPr>
          <w:sz w:val="22"/>
          <w:szCs w:val="22"/>
          <w:u w:val="single"/>
        </w:rPr>
        <w:t xml:space="preserve">Expert report and trial testimony (jury): </w:t>
      </w:r>
      <w:r>
        <w:rPr>
          <w:sz w:val="22"/>
          <w:szCs w:val="22"/>
        </w:rPr>
        <w:t>Reasonable royalty analysis in a patent infringement proceeding concerning technology used in child playards.</w:t>
      </w:r>
    </w:p>
    <w:p w14:paraId="0E7196DA" w14:textId="77777777" w:rsidR="00DC296B" w:rsidRDefault="00AC362E">
      <w:pPr>
        <w:spacing w:before="140" w:after="10"/>
      </w:pPr>
      <w:r>
        <w:rPr>
          <w:b/>
          <w:bCs/>
          <w:i/>
          <w:iCs/>
          <w:sz w:val="22"/>
          <w:szCs w:val="22"/>
        </w:rPr>
        <w:t>Kolcraft Enterprises, Inc. v. Artsana USA, Inc. d/b/a Chicco USA, Inc.</w:t>
      </w:r>
    </w:p>
    <w:p w14:paraId="36B4F4F3" w14:textId="77777777" w:rsidR="00DC296B" w:rsidRDefault="00AC362E">
      <w:pPr>
        <w:spacing w:after="10"/>
      </w:pPr>
      <w:r>
        <w:rPr>
          <w:i/>
          <w:iCs/>
          <w:sz w:val="22"/>
          <w:szCs w:val="22"/>
        </w:rPr>
        <w:t>United States District Court, Northern District of Illinois, Eastern Division (Civil Action No. 1:13-cv-04863)</w:t>
      </w:r>
    </w:p>
    <w:p w14:paraId="5725DA41" w14:textId="77777777" w:rsidR="00DC296B" w:rsidRDefault="00AC362E">
      <w:pPr>
        <w:spacing w:after="10"/>
      </w:pPr>
      <w:r>
        <w:rPr>
          <w:sz w:val="22"/>
          <w:szCs w:val="22"/>
          <w:u w:val="single"/>
        </w:rPr>
        <w:t xml:space="preserve">Expert report: </w:t>
      </w:r>
      <w:r>
        <w:rPr>
          <w:sz w:val="22"/>
          <w:szCs w:val="22"/>
        </w:rPr>
        <w:t>Reasonable royalty analysis in a patent infringement proceeding concerning technology used in child playards.</w:t>
      </w:r>
    </w:p>
    <w:p w14:paraId="6232D07E" w14:textId="77777777" w:rsidR="00DC296B" w:rsidRDefault="00AC362E">
      <w:pPr>
        <w:spacing w:before="140" w:after="10"/>
      </w:pPr>
      <w:r>
        <w:rPr>
          <w:b/>
          <w:bCs/>
          <w:i/>
          <w:iCs/>
          <w:sz w:val="22"/>
          <w:szCs w:val="22"/>
        </w:rPr>
        <w:t>Dorman Products, Inc. v. Paccar, Inc.</w:t>
      </w:r>
    </w:p>
    <w:p w14:paraId="52756CA8" w14:textId="77777777" w:rsidR="00DC296B" w:rsidRDefault="00AC362E">
      <w:pPr>
        <w:spacing w:after="10"/>
      </w:pPr>
      <w:r>
        <w:rPr>
          <w:i/>
          <w:iCs/>
          <w:sz w:val="22"/>
          <w:szCs w:val="22"/>
        </w:rPr>
        <w:t>United States District Court, Eastern District of Pennsylvania (Civil Action No. 13-6383)</w:t>
      </w:r>
    </w:p>
    <w:p w14:paraId="7DD63EAC" w14:textId="77777777" w:rsidR="00DC296B" w:rsidRDefault="00AC362E">
      <w:pPr>
        <w:spacing w:after="10"/>
      </w:pPr>
      <w:r>
        <w:rPr>
          <w:sz w:val="22"/>
          <w:szCs w:val="22"/>
          <w:u w:val="single"/>
        </w:rPr>
        <w:t xml:space="preserve">Expert report: </w:t>
      </w:r>
      <w:r>
        <w:rPr>
          <w:sz w:val="22"/>
          <w:szCs w:val="22"/>
        </w:rPr>
        <w:t>Reasonable royalty and lost profits analysis in a patent infringement proceeding concerning technology used in automotive replacement parts.</w:t>
      </w:r>
    </w:p>
    <w:p w14:paraId="1F2F3DEE" w14:textId="77777777" w:rsidR="00DC296B" w:rsidRDefault="00AC362E">
      <w:pPr>
        <w:spacing w:before="140" w:after="10"/>
      </w:pPr>
      <w:r>
        <w:rPr>
          <w:b/>
          <w:bCs/>
          <w:i/>
          <w:iCs/>
          <w:sz w:val="22"/>
          <w:szCs w:val="22"/>
        </w:rPr>
        <w:t>Linex Technologies, Inc. v. Belkin International, Inc., et al. (Phoebe Micro, Inc.)</w:t>
      </w:r>
    </w:p>
    <w:p w14:paraId="7267873C" w14:textId="77777777" w:rsidR="00DC296B" w:rsidRDefault="00AC362E">
      <w:pPr>
        <w:spacing w:after="10"/>
      </w:pPr>
      <w:r>
        <w:rPr>
          <w:i/>
          <w:iCs/>
          <w:sz w:val="22"/>
          <w:szCs w:val="22"/>
        </w:rPr>
        <w:lastRenderedPageBreak/>
        <w:t>United States District Court, Eastern District of Texas, Marshall Division (Civil Action No. 2:07-cv-222-LED)</w:t>
      </w:r>
    </w:p>
    <w:p w14:paraId="08BBF659" w14:textId="77777777" w:rsidR="00DC296B" w:rsidRDefault="00AC362E">
      <w:pPr>
        <w:spacing w:after="10"/>
      </w:pPr>
      <w:r>
        <w:rPr>
          <w:sz w:val="22"/>
          <w:szCs w:val="22"/>
          <w:u w:val="single"/>
        </w:rPr>
        <w:t xml:space="preserve">Expert report: </w:t>
      </w:r>
      <w:r>
        <w:rPr>
          <w:sz w:val="22"/>
          <w:szCs w:val="22"/>
        </w:rPr>
        <w:t>Reasonable royalty analysis in a patent infringement proceeding concerning technology used in wireless routers.</w:t>
      </w:r>
    </w:p>
    <w:p w14:paraId="2DE65706" w14:textId="77777777" w:rsidR="00DC296B" w:rsidRDefault="00AC362E">
      <w:pPr>
        <w:spacing w:before="140" w:after="10"/>
      </w:pPr>
      <w:r>
        <w:rPr>
          <w:b/>
          <w:bCs/>
          <w:i/>
          <w:iCs/>
          <w:sz w:val="22"/>
          <w:szCs w:val="22"/>
        </w:rPr>
        <w:t>King Pharmaceuticals, Inc., et al. v. Eon Labs, Inc.</w:t>
      </w:r>
    </w:p>
    <w:p w14:paraId="78A55ED6" w14:textId="77777777" w:rsidR="00DC296B" w:rsidRDefault="00AC362E">
      <w:pPr>
        <w:spacing w:after="10"/>
      </w:pPr>
      <w:r>
        <w:rPr>
          <w:i/>
          <w:iCs/>
          <w:sz w:val="22"/>
          <w:szCs w:val="22"/>
        </w:rPr>
        <w:t>United States District Court, Eastern District of New York (Civil Action No. 04-CV-5540 (DGT, RLM))</w:t>
      </w:r>
    </w:p>
    <w:p w14:paraId="7B3439E4" w14:textId="77777777" w:rsidR="00DC296B" w:rsidRDefault="00AC362E">
      <w:pPr>
        <w:spacing w:after="10"/>
      </w:pPr>
      <w:r>
        <w:rPr>
          <w:sz w:val="22"/>
          <w:szCs w:val="22"/>
          <w:u w:val="single"/>
        </w:rPr>
        <w:t xml:space="preserve">Expert report and deposition testimony: </w:t>
      </w:r>
      <w:r>
        <w:rPr>
          <w:sz w:val="22"/>
          <w:szCs w:val="22"/>
        </w:rPr>
        <w:t>Evaluation of commercial success issues in a patent infringement proceeding concerning Skelaxin (a muscle relaxant).</w:t>
      </w:r>
    </w:p>
    <w:p w14:paraId="1D9DCD4D" w14:textId="77777777" w:rsidR="00DC296B" w:rsidRDefault="00AC362E">
      <w:pPr>
        <w:spacing w:before="140" w:after="10"/>
      </w:pPr>
      <w:r>
        <w:rPr>
          <w:b/>
          <w:bCs/>
          <w:i/>
          <w:iCs/>
          <w:sz w:val="22"/>
          <w:szCs w:val="22"/>
        </w:rPr>
        <w:t>3M Innovative Properties Company, et al. v. Illinois Tool Works, Inc., et al.</w:t>
      </w:r>
    </w:p>
    <w:p w14:paraId="49D9C4FC" w14:textId="77777777" w:rsidR="00DC296B" w:rsidRDefault="00AC362E">
      <w:pPr>
        <w:spacing w:after="10"/>
      </w:pPr>
      <w:r>
        <w:rPr>
          <w:i/>
          <w:iCs/>
          <w:sz w:val="22"/>
          <w:szCs w:val="22"/>
        </w:rPr>
        <w:t>United States District Court, District of Minnesota (Case No. 06-2459 (JRT/FLN))</w:t>
      </w:r>
    </w:p>
    <w:p w14:paraId="4266D25C" w14:textId="77777777" w:rsidR="00DC296B" w:rsidRDefault="00AC362E">
      <w:pPr>
        <w:spacing w:after="10"/>
      </w:pPr>
      <w:r>
        <w:rPr>
          <w:sz w:val="22"/>
          <w:szCs w:val="22"/>
          <w:u w:val="single"/>
        </w:rPr>
        <w:t xml:space="preserve">Expert report: </w:t>
      </w:r>
      <w:r>
        <w:rPr>
          <w:sz w:val="22"/>
          <w:szCs w:val="22"/>
        </w:rPr>
        <w:t>Lost profits analysis in a patent infringement case involving technology used in paint spray gun systems.</w:t>
      </w:r>
    </w:p>
    <w:p w14:paraId="7DA0F2F4" w14:textId="77777777" w:rsidR="00DC296B" w:rsidRDefault="00AC362E">
      <w:pPr>
        <w:spacing w:before="140" w:after="10"/>
      </w:pPr>
      <w:r>
        <w:rPr>
          <w:b/>
          <w:bCs/>
          <w:i/>
          <w:iCs/>
          <w:sz w:val="22"/>
          <w:szCs w:val="22"/>
        </w:rPr>
        <w:t>NetRatings, Inc. v. WebSideStory, Inc.</w:t>
      </w:r>
    </w:p>
    <w:p w14:paraId="22956B2F" w14:textId="77777777" w:rsidR="00DC296B" w:rsidRDefault="00AC362E">
      <w:pPr>
        <w:spacing w:after="10"/>
      </w:pPr>
      <w:r>
        <w:rPr>
          <w:i/>
          <w:iCs/>
          <w:sz w:val="22"/>
          <w:szCs w:val="22"/>
        </w:rPr>
        <w:t>United States District Court, Southern District of New York (Case No. 06-CV-878 (LTS)(AJP))</w:t>
      </w:r>
    </w:p>
    <w:p w14:paraId="593DBD51" w14:textId="77777777" w:rsidR="00DC296B" w:rsidRDefault="00AC362E">
      <w:pPr>
        <w:spacing w:after="10"/>
      </w:pPr>
      <w:r>
        <w:rPr>
          <w:sz w:val="22"/>
          <w:szCs w:val="22"/>
          <w:u w:val="single"/>
        </w:rPr>
        <w:t xml:space="preserve">Expert report (with John C. Jarosz): </w:t>
      </w:r>
      <w:r>
        <w:rPr>
          <w:sz w:val="22"/>
          <w:szCs w:val="22"/>
        </w:rPr>
        <w:t>Reasonable royalty analysis in a patent infringement case involving technology directed to internet audience measurement and analysis.</w:t>
      </w:r>
    </w:p>
    <w:p w14:paraId="3094C510" w14:textId="77777777" w:rsidR="00DC296B" w:rsidRDefault="00AC362E">
      <w:pPr>
        <w:spacing w:before="140" w:after="10"/>
      </w:pPr>
      <w:r>
        <w:rPr>
          <w:b/>
          <w:bCs/>
          <w:i/>
          <w:iCs/>
          <w:sz w:val="22"/>
          <w:szCs w:val="22"/>
        </w:rPr>
        <w:t>Satellite Tracking of People, L.L.C. v. Pro Tech Monitoring, Inc.</w:t>
      </w:r>
    </w:p>
    <w:p w14:paraId="5658BB39" w14:textId="77777777" w:rsidR="00DC296B" w:rsidRDefault="00AC362E">
      <w:pPr>
        <w:spacing w:after="10"/>
      </w:pPr>
      <w:r>
        <w:rPr>
          <w:i/>
          <w:iCs/>
          <w:sz w:val="22"/>
          <w:szCs w:val="22"/>
        </w:rPr>
        <w:t>United States District Court, Middle District of Tennessee (Civil Action No. 3-05-0064)</w:t>
      </w:r>
    </w:p>
    <w:p w14:paraId="25134D54" w14:textId="77777777" w:rsidR="00DC296B" w:rsidRDefault="00AC362E">
      <w:pPr>
        <w:spacing w:after="10"/>
      </w:pPr>
      <w:r>
        <w:rPr>
          <w:sz w:val="22"/>
          <w:szCs w:val="22"/>
          <w:u w:val="single"/>
        </w:rPr>
        <w:t xml:space="preserve">Expert report: </w:t>
      </w:r>
      <w:r>
        <w:rPr>
          <w:sz w:val="22"/>
          <w:szCs w:val="22"/>
        </w:rPr>
        <w:t>Reasonable royalty analysis in a patent infringement case involving patents used in electronic offender tracking and monitoring services.</w:t>
      </w:r>
    </w:p>
    <w:p w14:paraId="708A5E43" w14:textId="77777777" w:rsidR="00DC296B" w:rsidRDefault="00AC362E">
      <w:pPr>
        <w:spacing w:before="140" w:after="10"/>
      </w:pPr>
      <w:r>
        <w:rPr>
          <w:b/>
          <w:bCs/>
          <w:i/>
          <w:iCs/>
          <w:sz w:val="22"/>
          <w:szCs w:val="22"/>
        </w:rPr>
        <w:t>National Starch and Chemical Investment Holding Corporation, et al. v. Cargill, Inc. and MGP Ingredients, Inc.</w:t>
      </w:r>
    </w:p>
    <w:p w14:paraId="074F2CE0" w14:textId="77777777" w:rsidR="00DC296B" w:rsidRDefault="00AC362E">
      <w:pPr>
        <w:spacing w:after="10"/>
      </w:pPr>
      <w:r>
        <w:rPr>
          <w:i/>
          <w:iCs/>
          <w:sz w:val="22"/>
          <w:szCs w:val="22"/>
        </w:rPr>
        <w:t>United States District Court, District of Delaware (C.A. No. 1443-GMS)</w:t>
      </w:r>
    </w:p>
    <w:p w14:paraId="03793CA9" w14:textId="77777777" w:rsidR="00DC296B" w:rsidRDefault="00AC362E">
      <w:pPr>
        <w:spacing w:after="10"/>
      </w:pPr>
      <w:r>
        <w:rPr>
          <w:sz w:val="22"/>
          <w:szCs w:val="22"/>
          <w:u w:val="single"/>
        </w:rPr>
        <w:t xml:space="preserve">Expert report and deposition testimony: </w:t>
      </w:r>
      <w:r>
        <w:rPr>
          <w:sz w:val="22"/>
          <w:szCs w:val="22"/>
        </w:rPr>
        <w:t>Lost profits and reasonable royalty analysis in a patent infringement case involving patents used in high amylose maize products.</w:t>
      </w:r>
    </w:p>
    <w:p w14:paraId="5D18C41C" w14:textId="77777777" w:rsidR="00DC296B" w:rsidRDefault="00AC362E">
      <w:pPr>
        <w:spacing w:before="140" w:after="10"/>
      </w:pPr>
      <w:r>
        <w:rPr>
          <w:b/>
          <w:bCs/>
          <w:i/>
          <w:iCs/>
          <w:sz w:val="22"/>
          <w:szCs w:val="22"/>
        </w:rPr>
        <w:t>NetRatings, Inc. v. SageMetrics Corporation</w:t>
      </w:r>
    </w:p>
    <w:p w14:paraId="1A28402A" w14:textId="77777777" w:rsidR="00DC296B" w:rsidRDefault="00AC362E">
      <w:pPr>
        <w:spacing w:after="10"/>
      </w:pPr>
      <w:r>
        <w:rPr>
          <w:i/>
          <w:iCs/>
          <w:sz w:val="22"/>
          <w:szCs w:val="22"/>
        </w:rPr>
        <w:t>United States District Court, Central District of California (CV05-4507 JFW (CWx))</w:t>
      </w:r>
    </w:p>
    <w:p w14:paraId="15324482" w14:textId="77777777" w:rsidR="00DC296B" w:rsidRDefault="00AC362E">
      <w:pPr>
        <w:spacing w:after="10"/>
      </w:pPr>
      <w:r>
        <w:rPr>
          <w:sz w:val="22"/>
          <w:szCs w:val="22"/>
          <w:u w:val="single"/>
        </w:rPr>
        <w:t xml:space="preserve">Expert report (with John C. Jarosz): </w:t>
      </w:r>
      <w:r>
        <w:rPr>
          <w:sz w:val="22"/>
          <w:szCs w:val="22"/>
        </w:rPr>
        <w:t>Reasonable royalty analysis in a patent infringement case involving technology directed to internet audience measurement and analysis.</w:t>
      </w:r>
    </w:p>
    <w:p w14:paraId="447ADA03" w14:textId="77777777" w:rsidR="00DC296B" w:rsidRDefault="00AC362E">
      <w:pPr>
        <w:spacing w:before="140" w:after="10"/>
      </w:pPr>
      <w:r>
        <w:rPr>
          <w:b/>
          <w:bCs/>
          <w:i/>
          <w:iCs/>
          <w:sz w:val="22"/>
          <w:szCs w:val="22"/>
        </w:rPr>
        <w:t>Michael J. Therien v. The Trustees of the University of Pennsylvania</w:t>
      </w:r>
    </w:p>
    <w:p w14:paraId="380A7411" w14:textId="77777777" w:rsidR="00DC296B" w:rsidRDefault="00AC362E">
      <w:pPr>
        <w:spacing w:after="10"/>
      </w:pPr>
      <w:r>
        <w:rPr>
          <w:i/>
          <w:iCs/>
          <w:sz w:val="22"/>
          <w:szCs w:val="22"/>
        </w:rPr>
        <w:t>United States District Court, Eastern District of Pennsylvania (Civil Action No. 04-4786 (BMS))</w:t>
      </w:r>
    </w:p>
    <w:p w14:paraId="041374E4" w14:textId="77777777" w:rsidR="00DC296B" w:rsidRDefault="00AC362E">
      <w:pPr>
        <w:spacing w:after="10"/>
      </w:pPr>
      <w:r>
        <w:rPr>
          <w:sz w:val="22"/>
          <w:szCs w:val="22"/>
          <w:u w:val="single"/>
        </w:rPr>
        <w:t xml:space="preserve">Expert report: </w:t>
      </w:r>
      <w:r>
        <w:rPr>
          <w:sz w:val="22"/>
          <w:szCs w:val="22"/>
        </w:rPr>
        <w:t>Damages analysis in an employment contract dispute involving purported failures to properly commercialize technology.</w:t>
      </w:r>
    </w:p>
    <w:p w14:paraId="7977F197" w14:textId="77777777" w:rsidR="00DC296B" w:rsidRDefault="00AC362E">
      <w:pPr>
        <w:spacing w:before="140" w:after="10"/>
      </w:pPr>
      <w:r>
        <w:rPr>
          <w:b/>
          <w:bCs/>
          <w:i/>
          <w:iCs/>
          <w:sz w:val="22"/>
          <w:szCs w:val="22"/>
        </w:rPr>
        <w:t>Velcro Industries B.V. and Velcro USA Inc. v. Taiwan Paiho Limited</w:t>
      </w:r>
    </w:p>
    <w:p w14:paraId="097C38DA" w14:textId="77777777" w:rsidR="00DC296B" w:rsidRDefault="00AC362E">
      <w:pPr>
        <w:spacing w:after="10"/>
      </w:pPr>
      <w:r>
        <w:rPr>
          <w:i/>
          <w:iCs/>
          <w:sz w:val="22"/>
          <w:szCs w:val="22"/>
        </w:rPr>
        <w:t>United States District Court, District of New Hampshire (Civil Action No. 1:04-cv-00242-JD)</w:t>
      </w:r>
    </w:p>
    <w:p w14:paraId="7D9DB492" w14:textId="77777777" w:rsidR="00DC296B" w:rsidRDefault="00AC362E">
      <w:pPr>
        <w:spacing w:after="10"/>
      </w:pPr>
      <w:r>
        <w:rPr>
          <w:sz w:val="22"/>
          <w:szCs w:val="22"/>
          <w:u w:val="single"/>
        </w:rPr>
        <w:t xml:space="preserve">Expert report and deposition testimony: </w:t>
      </w:r>
      <w:r>
        <w:rPr>
          <w:sz w:val="22"/>
          <w:szCs w:val="22"/>
        </w:rPr>
        <w:t>Reasonable royalty analysis in patent infringement case involving molded hook fasteners.</w:t>
      </w:r>
    </w:p>
    <w:p w14:paraId="262539C7" w14:textId="77777777" w:rsidR="00DC296B" w:rsidRDefault="00AC362E">
      <w:pPr>
        <w:spacing w:before="140" w:after="10"/>
      </w:pPr>
      <w:r>
        <w:rPr>
          <w:b/>
          <w:bCs/>
          <w:i/>
          <w:iCs/>
          <w:sz w:val="22"/>
          <w:szCs w:val="22"/>
        </w:rPr>
        <w:t>Elan Pharmaceuticals, Inc., et al. v. Eon Labs, et al.</w:t>
      </w:r>
    </w:p>
    <w:p w14:paraId="7D266121" w14:textId="77777777" w:rsidR="00DC296B" w:rsidRDefault="00AC362E">
      <w:pPr>
        <w:spacing w:after="10"/>
      </w:pPr>
      <w:r>
        <w:rPr>
          <w:i/>
          <w:iCs/>
          <w:sz w:val="22"/>
          <w:szCs w:val="22"/>
        </w:rPr>
        <w:t>United States District Court, Eastern District of New York (Case No. 03-CV-0006 (DLI, RLM))</w:t>
      </w:r>
    </w:p>
    <w:p w14:paraId="44692706" w14:textId="77777777" w:rsidR="00DC296B" w:rsidRDefault="00AC362E">
      <w:pPr>
        <w:spacing w:after="10"/>
      </w:pPr>
      <w:r>
        <w:rPr>
          <w:sz w:val="22"/>
          <w:szCs w:val="22"/>
          <w:u w:val="single"/>
        </w:rPr>
        <w:t xml:space="preserve">Expert report and deposition testimony: </w:t>
      </w:r>
      <w:r>
        <w:rPr>
          <w:sz w:val="22"/>
          <w:szCs w:val="22"/>
        </w:rPr>
        <w:t>Assessment of plaintiff's antitrust counterclaim analyses (including market definition, causation and damages issues) in a patent infringement proceeding concerning Skelaxin (a muscle relaxant).</w:t>
      </w:r>
    </w:p>
    <w:p w14:paraId="110AEAB9" w14:textId="77777777" w:rsidR="00DC296B" w:rsidRDefault="00DC296B" w:rsidP="004A75C9">
      <w:pPr>
        <w:keepNext/>
        <w:keepLines/>
        <w:pBdr>
          <w:bottom w:val="single" w:sz="6" w:space="4" w:color="999999"/>
        </w:pBdr>
        <w:spacing w:before="120" w:after="200"/>
      </w:pPr>
    </w:p>
    <w:p w14:paraId="6ADB7101" w14:textId="77777777" w:rsidR="00DC296B" w:rsidRDefault="00AC362E" w:rsidP="004A75C9">
      <w:pPr>
        <w:keepNext/>
        <w:keepLines/>
        <w:spacing w:before="260" w:after="140"/>
      </w:pPr>
      <w:r>
        <w:rPr>
          <w:b/>
          <w:bCs/>
          <w:sz w:val="26"/>
          <w:szCs w:val="26"/>
        </w:rPr>
        <w:t>CONSULTING ASSIGNMENTS (LITIGATION)</w:t>
      </w:r>
    </w:p>
    <w:p w14:paraId="7F8B1D3C" w14:textId="77777777" w:rsidR="00DC296B" w:rsidRDefault="00AC362E" w:rsidP="004A75C9">
      <w:pPr>
        <w:keepNext/>
        <w:keepLines/>
        <w:spacing w:before="140" w:after="10"/>
      </w:pPr>
      <w:r>
        <w:rPr>
          <w:b/>
          <w:bCs/>
          <w:i/>
          <w:iCs/>
          <w:sz w:val="22"/>
          <w:szCs w:val="22"/>
        </w:rPr>
        <w:t>Opentext Corporation, et al. v. Hyland Software, Inc., et al.</w:t>
      </w:r>
    </w:p>
    <w:p w14:paraId="16ED79F7" w14:textId="77777777" w:rsidR="00DC296B" w:rsidRDefault="00AC362E" w:rsidP="004A75C9">
      <w:pPr>
        <w:keepNext/>
        <w:keepLines/>
        <w:spacing w:after="10"/>
      </w:pPr>
      <w:r>
        <w:rPr>
          <w:i/>
          <w:iCs/>
          <w:sz w:val="22"/>
          <w:szCs w:val="22"/>
        </w:rPr>
        <w:t>US District Court, Central District of California, Southern Division (Case No. 8:20-cv-02116)</w:t>
      </w:r>
    </w:p>
    <w:p w14:paraId="2F6CB340" w14:textId="77777777" w:rsidR="00DC296B" w:rsidRDefault="00AC362E" w:rsidP="004A75C9">
      <w:pPr>
        <w:keepNext/>
        <w:keepLines/>
        <w:spacing w:after="10"/>
      </w:pPr>
      <w:r>
        <w:rPr>
          <w:sz w:val="22"/>
          <w:szCs w:val="22"/>
          <w:u w:val="single"/>
        </w:rPr>
        <w:t xml:space="preserve">Patent Infringement: </w:t>
      </w:r>
      <w:r>
        <w:rPr>
          <w:sz w:val="22"/>
          <w:szCs w:val="22"/>
        </w:rPr>
        <w:t>Analysis of reasonable royalty damages involving the alleged infringement of software patents enabling file sharing and synchronization across multiple users and platforms.</w:t>
      </w:r>
    </w:p>
    <w:p w14:paraId="782572C4" w14:textId="77777777" w:rsidR="00DC296B" w:rsidRDefault="00AC362E">
      <w:pPr>
        <w:spacing w:before="140" w:after="10"/>
      </w:pPr>
      <w:r>
        <w:rPr>
          <w:b/>
          <w:bCs/>
          <w:i/>
          <w:iCs/>
          <w:sz w:val="22"/>
          <w:szCs w:val="22"/>
        </w:rPr>
        <w:t>Erfindergemeinschaft UroPep GbR v. Eli Lilly and Company and Brookshire Brothers, Inc.</w:t>
      </w:r>
    </w:p>
    <w:p w14:paraId="4FB0C535" w14:textId="77777777" w:rsidR="00DC296B" w:rsidRDefault="00AC362E">
      <w:pPr>
        <w:spacing w:after="10"/>
      </w:pPr>
      <w:r>
        <w:rPr>
          <w:i/>
          <w:iCs/>
          <w:sz w:val="22"/>
          <w:szCs w:val="22"/>
        </w:rPr>
        <w:t>US District Court, Eastern District of Texas, Marshall Division (Case No. 2:15-cv-1202-WCB)</w:t>
      </w:r>
    </w:p>
    <w:p w14:paraId="4B8A73C5" w14:textId="77777777" w:rsidR="00DC296B" w:rsidRDefault="00AC362E">
      <w:pPr>
        <w:spacing w:after="10"/>
      </w:pPr>
      <w:r>
        <w:rPr>
          <w:sz w:val="22"/>
          <w:szCs w:val="22"/>
          <w:u w:val="single"/>
        </w:rPr>
        <w:t xml:space="preserve">Patent Infringement: </w:t>
      </w:r>
      <w:r>
        <w:rPr>
          <w:sz w:val="22"/>
          <w:szCs w:val="22"/>
        </w:rPr>
        <w:t>Analysis of reasonable royalty damages involving the alleged infringement of patents directed to the use of phosphodiesterase (PDE) V inhibitor(s) in the treatment of the signs and symptoms of benign prostatic hyperplasia.</w:t>
      </w:r>
    </w:p>
    <w:p w14:paraId="19882D87" w14:textId="77777777" w:rsidR="00DC296B" w:rsidRDefault="00AC362E">
      <w:pPr>
        <w:spacing w:before="140" w:after="10"/>
      </w:pPr>
      <w:r>
        <w:rPr>
          <w:b/>
          <w:bCs/>
          <w:i/>
          <w:iCs/>
          <w:sz w:val="22"/>
          <w:szCs w:val="22"/>
        </w:rPr>
        <w:t>VIVUS, Inc. v. Actavis Laboratories FL, Inc.</w:t>
      </w:r>
    </w:p>
    <w:p w14:paraId="1847492B" w14:textId="77777777" w:rsidR="00DC296B" w:rsidRDefault="00AC362E">
      <w:pPr>
        <w:spacing w:after="10"/>
      </w:pPr>
      <w:r>
        <w:rPr>
          <w:i/>
          <w:iCs/>
          <w:sz w:val="22"/>
          <w:szCs w:val="22"/>
        </w:rPr>
        <w:t>United States District Court, District of New Jersey (Case No. 14-cv-3786-SRC-CLW; 15-cv-1636-SRC-CLW; and 15-cv-02693-SRC-CLW)</w:t>
      </w:r>
    </w:p>
    <w:p w14:paraId="01CEC826" w14:textId="77777777" w:rsidR="00DC296B" w:rsidRDefault="00AC362E">
      <w:pPr>
        <w:spacing w:after="10"/>
      </w:pPr>
      <w:r>
        <w:rPr>
          <w:sz w:val="22"/>
          <w:szCs w:val="22"/>
          <w:u w:val="single"/>
        </w:rPr>
        <w:t xml:space="preserve">Commercial Success: </w:t>
      </w:r>
      <w:r>
        <w:rPr>
          <w:sz w:val="22"/>
          <w:szCs w:val="22"/>
        </w:rPr>
        <w:t>Analysis of commercial success involving patents directed to an immediate release/extended release combination drug used for chronic weight management.</w:t>
      </w:r>
    </w:p>
    <w:p w14:paraId="74E0FEE4" w14:textId="77777777" w:rsidR="00DC296B" w:rsidRDefault="00AC362E">
      <w:pPr>
        <w:spacing w:before="140" w:after="10"/>
      </w:pPr>
      <w:r>
        <w:rPr>
          <w:b/>
          <w:bCs/>
          <w:i/>
          <w:iCs/>
          <w:sz w:val="22"/>
          <w:szCs w:val="22"/>
        </w:rPr>
        <w:t>Noven Pharmaceuticals, Inc. v. Actavis Laboratories UT, Inc.</w:t>
      </w:r>
    </w:p>
    <w:p w14:paraId="769F6DA8" w14:textId="77777777" w:rsidR="00DC296B" w:rsidRDefault="00AC362E">
      <w:pPr>
        <w:spacing w:after="10"/>
      </w:pPr>
      <w:r>
        <w:rPr>
          <w:i/>
          <w:iCs/>
          <w:sz w:val="22"/>
          <w:szCs w:val="22"/>
        </w:rPr>
        <w:t>United States District Court, District of Delaware (Case No. 15-249 (LPS))</w:t>
      </w:r>
    </w:p>
    <w:p w14:paraId="5D3ECE79" w14:textId="77777777" w:rsidR="00DC296B" w:rsidRDefault="00AC362E">
      <w:pPr>
        <w:spacing w:after="10"/>
      </w:pPr>
      <w:r>
        <w:rPr>
          <w:sz w:val="22"/>
          <w:szCs w:val="22"/>
          <w:u w:val="single"/>
        </w:rPr>
        <w:t xml:space="preserve">Commercial Success: </w:t>
      </w:r>
      <w:r>
        <w:rPr>
          <w:sz w:val="22"/>
          <w:szCs w:val="22"/>
        </w:rPr>
        <w:t>Analysis of commercial success involving patents directed to an estrogen therapy patch.</w:t>
      </w:r>
    </w:p>
    <w:p w14:paraId="4D83EF51" w14:textId="77777777" w:rsidR="00DC296B" w:rsidRDefault="00AC362E">
      <w:pPr>
        <w:spacing w:before="140" w:after="10"/>
      </w:pPr>
      <w:r>
        <w:rPr>
          <w:b/>
          <w:bCs/>
          <w:i/>
          <w:iCs/>
          <w:sz w:val="22"/>
          <w:szCs w:val="22"/>
        </w:rPr>
        <w:t>Fresenius Kabi USA, LLC v. Fera Pharmaceuticals, LLC and Oakwood Laboratories, LLC</w:t>
      </w:r>
    </w:p>
    <w:p w14:paraId="5980DDD3" w14:textId="77777777" w:rsidR="00DC296B" w:rsidRDefault="00AC362E">
      <w:pPr>
        <w:spacing w:after="10"/>
      </w:pPr>
      <w:r>
        <w:rPr>
          <w:i/>
          <w:iCs/>
          <w:sz w:val="22"/>
          <w:szCs w:val="22"/>
        </w:rPr>
        <w:t>United States District Court, District of New Jersey (Case No. 15-03654-KM-MAH)</w:t>
      </w:r>
    </w:p>
    <w:p w14:paraId="3FCADAF8" w14:textId="77777777" w:rsidR="00DC296B" w:rsidRDefault="00AC362E">
      <w:pPr>
        <w:spacing w:after="10"/>
      </w:pPr>
      <w:r>
        <w:rPr>
          <w:sz w:val="22"/>
          <w:szCs w:val="22"/>
          <w:u w:val="single"/>
        </w:rPr>
        <w:t xml:space="preserve">Commercial Success, Preliminary Relief, and Antitrust Liability/Damages: </w:t>
      </w:r>
      <w:r>
        <w:rPr>
          <w:sz w:val="22"/>
          <w:szCs w:val="22"/>
        </w:rPr>
        <w:t>Analysis of commercial success and preliminary injunctive relief involving patents directed to injectable drug treatment of myxedema coma; analysis of antitrust liability and damages concerning enforcement of the same patents.</w:t>
      </w:r>
    </w:p>
    <w:p w14:paraId="643F2479" w14:textId="77777777" w:rsidR="00DC296B" w:rsidRDefault="00AC362E">
      <w:pPr>
        <w:spacing w:before="140" w:after="10"/>
      </w:pPr>
      <w:r>
        <w:rPr>
          <w:b/>
          <w:bCs/>
          <w:i/>
          <w:iCs/>
          <w:sz w:val="22"/>
          <w:szCs w:val="22"/>
        </w:rPr>
        <w:t>Meda Pharmaceuticals, Inc. and Cipla, Ltd. v. Apotex, Inc. and Apotex Corp.</w:t>
      </w:r>
    </w:p>
    <w:p w14:paraId="656721A1" w14:textId="77777777" w:rsidR="00DC296B" w:rsidRDefault="00AC362E">
      <w:pPr>
        <w:spacing w:after="10"/>
      </w:pPr>
      <w:r>
        <w:rPr>
          <w:i/>
          <w:iCs/>
          <w:sz w:val="22"/>
          <w:szCs w:val="22"/>
        </w:rPr>
        <w:t>United States District Court, District of Delaware (Case No. 14-1453-LPS)</w:t>
      </w:r>
    </w:p>
    <w:p w14:paraId="4081F800" w14:textId="77777777" w:rsidR="00DC296B" w:rsidRDefault="00AC362E">
      <w:pPr>
        <w:spacing w:after="10"/>
      </w:pPr>
      <w:r>
        <w:rPr>
          <w:sz w:val="22"/>
          <w:szCs w:val="22"/>
          <w:u w:val="single"/>
        </w:rPr>
        <w:t xml:space="preserve">Commercial Success: </w:t>
      </w:r>
      <w:r>
        <w:rPr>
          <w:sz w:val="22"/>
          <w:szCs w:val="22"/>
        </w:rPr>
        <w:t>Analysis of commercial success involving patents directed to a combination formulation drug used to treat seasonal allergic rhinitis.</w:t>
      </w:r>
    </w:p>
    <w:p w14:paraId="55140206" w14:textId="77777777" w:rsidR="00DC296B" w:rsidRDefault="00AC362E">
      <w:pPr>
        <w:spacing w:before="140" w:after="10"/>
      </w:pPr>
      <w:r>
        <w:rPr>
          <w:b/>
          <w:bCs/>
          <w:i/>
          <w:iCs/>
          <w:sz w:val="22"/>
          <w:szCs w:val="22"/>
        </w:rPr>
        <w:t>Eli Lilly and Company, Eli Lilly Export S.A., and Acrux DDS Pty. Ltd. v. Watson Laboratories, Inc., Actavis, Inc., Actavis Pharma, Inc. / Perrigo Company</w:t>
      </w:r>
    </w:p>
    <w:p w14:paraId="7B9E7AD7" w14:textId="77777777" w:rsidR="00DC296B" w:rsidRDefault="00AC362E">
      <w:pPr>
        <w:spacing w:after="10"/>
      </w:pPr>
      <w:r>
        <w:rPr>
          <w:i/>
          <w:iCs/>
          <w:sz w:val="22"/>
          <w:szCs w:val="22"/>
        </w:rPr>
        <w:t>United States District Court, Southern District of Indiana, Indianapolis Division (Case Nos. 1:13-cv-1799-JMS-DKL / 1:13-cv-0851 SEB-DKL)</w:t>
      </w:r>
    </w:p>
    <w:p w14:paraId="09DB8212" w14:textId="77777777" w:rsidR="00DC296B" w:rsidRDefault="00AC362E">
      <w:pPr>
        <w:spacing w:after="10"/>
      </w:pPr>
      <w:r>
        <w:rPr>
          <w:sz w:val="22"/>
          <w:szCs w:val="22"/>
          <w:u w:val="single"/>
        </w:rPr>
        <w:t xml:space="preserve">Patent Infringement: </w:t>
      </w:r>
      <w:r>
        <w:rPr>
          <w:sz w:val="22"/>
          <w:szCs w:val="22"/>
        </w:rPr>
        <w:t>Analysis in support of preliminary relief involving patents directed to topical testosterone replacement therapy.</w:t>
      </w:r>
    </w:p>
    <w:p w14:paraId="451998AC" w14:textId="77777777" w:rsidR="00DC296B" w:rsidRDefault="00AC362E">
      <w:pPr>
        <w:spacing w:before="140" w:after="10"/>
      </w:pPr>
      <w:r>
        <w:rPr>
          <w:b/>
          <w:bCs/>
          <w:i/>
          <w:iCs/>
          <w:sz w:val="22"/>
          <w:szCs w:val="22"/>
        </w:rPr>
        <w:t>Dominion Resources, Inc., and Virginia Electric and Power Company v. Alstom Grid, Inc.</w:t>
      </w:r>
    </w:p>
    <w:p w14:paraId="0202D7CE" w14:textId="77777777" w:rsidR="00DC296B" w:rsidRDefault="00AC362E">
      <w:pPr>
        <w:spacing w:after="10"/>
      </w:pPr>
      <w:r>
        <w:rPr>
          <w:i/>
          <w:iCs/>
          <w:sz w:val="22"/>
          <w:szCs w:val="22"/>
        </w:rPr>
        <w:t>United States District Court, Eastern District of Pennsylvania</w:t>
      </w:r>
    </w:p>
    <w:p w14:paraId="421D9ABB" w14:textId="77777777" w:rsidR="00DC296B" w:rsidRDefault="00AC362E">
      <w:pPr>
        <w:spacing w:after="10"/>
      </w:pPr>
      <w:r>
        <w:rPr>
          <w:sz w:val="22"/>
          <w:szCs w:val="22"/>
          <w:u w:val="single"/>
        </w:rPr>
        <w:t xml:space="preserve">Patent Infringement: </w:t>
      </w:r>
      <w:r>
        <w:rPr>
          <w:sz w:val="22"/>
          <w:szCs w:val="22"/>
        </w:rPr>
        <w:t>Analysis in support of permanent injunction involving patents directed to a system and process that dynamically samples smart meters to achieve voltage optimization.</w:t>
      </w:r>
    </w:p>
    <w:p w14:paraId="04C5C7D0" w14:textId="77777777" w:rsidR="00DC296B" w:rsidRDefault="00AC362E">
      <w:pPr>
        <w:spacing w:before="140" w:after="10"/>
      </w:pPr>
      <w:r>
        <w:rPr>
          <w:b/>
          <w:bCs/>
          <w:i/>
          <w:iCs/>
          <w:sz w:val="22"/>
          <w:szCs w:val="22"/>
        </w:rPr>
        <w:t>Integra Lifesciences Corporation, Integra Lifesciences Sales, LLC, Confluent Surgical, Inc., and Incept, LLC v. Hyperbranch Medical Technology, Inc.</w:t>
      </w:r>
    </w:p>
    <w:p w14:paraId="328F32CE" w14:textId="77777777" w:rsidR="00DC296B" w:rsidRDefault="00AC362E">
      <w:pPr>
        <w:spacing w:after="10"/>
      </w:pPr>
      <w:r>
        <w:rPr>
          <w:i/>
          <w:iCs/>
          <w:sz w:val="22"/>
          <w:szCs w:val="22"/>
        </w:rPr>
        <w:t>United States District Court, District of Delaware (Case No. 15-cv-00819)</w:t>
      </w:r>
    </w:p>
    <w:p w14:paraId="3A9CE42D" w14:textId="77777777" w:rsidR="00DC296B" w:rsidRDefault="00AC362E">
      <w:pPr>
        <w:spacing w:after="10"/>
      </w:pPr>
      <w:r>
        <w:rPr>
          <w:sz w:val="22"/>
          <w:szCs w:val="22"/>
          <w:u w:val="single"/>
        </w:rPr>
        <w:t xml:space="preserve">Patent Infringement: </w:t>
      </w:r>
      <w:r>
        <w:rPr>
          <w:sz w:val="22"/>
          <w:szCs w:val="22"/>
        </w:rPr>
        <w:t>Analysis in support of preliminary relief involving patents directed to cranial and spinal dural repair sealants.</w:t>
      </w:r>
    </w:p>
    <w:p w14:paraId="2FEA55EF" w14:textId="77777777" w:rsidR="00DC296B" w:rsidRDefault="00AC362E">
      <w:pPr>
        <w:spacing w:before="140" w:after="10"/>
      </w:pPr>
      <w:r>
        <w:rPr>
          <w:b/>
          <w:bCs/>
          <w:i/>
          <w:iCs/>
          <w:sz w:val="22"/>
          <w:szCs w:val="22"/>
        </w:rPr>
        <w:t>ABS Holdings, Ltd. and ABS Global, Ltd. v. KT Corporation and KTSAT Corporation</w:t>
      </w:r>
    </w:p>
    <w:p w14:paraId="4BEF8585" w14:textId="77777777" w:rsidR="00DC296B" w:rsidRDefault="00AC362E">
      <w:pPr>
        <w:spacing w:after="10"/>
      </w:pPr>
      <w:r>
        <w:rPr>
          <w:i/>
          <w:iCs/>
          <w:sz w:val="22"/>
          <w:szCs w:val="22"/>
        </w:rPr>
        <w:t>International Court of Arbitration of the International Chamber of Commerce</w:t>
      </w:r>
    </w:p>
    <w:p w14:paraId="3EE21509" w14:textId="77777777" w:rsidR="00DC296B" w:rsidRDefault="00AC362E">
      <w:pPr>
        <w:spacing w:after="10"/>
      </w:pPr>
      <w:r>
        <w:rPr>
          <w:sz w:val="22"/>
          <w:szCs w:val="22"/>
          <w:u w:val="single"/>
        </w:rPr>
        <w:lastRenderedPageBreak/>
        <w:t xml:space="preserve">Breach of Contract and Damages: </w:t>
      </w:r>
      <w:r>
        <w:rPr>
          <w:sz w:val="22"/>
          <w:szCs w:val="22"/>
        </w:rPr>
        <w:t>Analysis of damages associated with alleged breaches of contract involving the sale and on-going operations of a satellite.</w:t>
      </w:r>
    </w:p>
    <w:p w14:paraId="024DCC52" w14:textId="77777777" w:rsidR="00DC296B" w:rsidRDefault="00AC362E">
      <w:pPr>
        <w:spacing w:before="140" w:after="10"/>
      </w:pPr>
      <w:r>
        <w:rPr>
          <w:b/>
          <w:bCs/>
          <w:i/>
          <w:iCs/>
          <w:sz w:val="22"/>
          <w:szCs w:val="22"/>
        </w:rPr>
        <w:t>American Society for Testing and Materials d/b/a ASTM International; National Fire Protection Association, Inc.; and American Society of Heating, Refrigerating, and Air Conditioning Engineers, Inc. v. Public.Resource.org, Inc.</w:t>
      </w:r>
    </w:p>
    <w:p w14:paraId="7DA4154A" w14:textId="77777777" w:rsidR="00DC296B" w:rsidRDefault="00AC362E">
      <w:pPr>
        <w:spacing w:after="10"/>
      </w:pPr>
      <w:r>
        <w:rPr>
          <w:i/>
          <w:iCs/>
          <w:sz w:val="22"/>
          <w:szCs w:val="22"/>
        </w:rPr>
        <w:t>United States District Court for the District of Columbia (Case No. 13-cv-01215-TSC)</w:t>
      </w:r>
    </w:p>
    <w:p w14:paraId="1AD1BE3C" w14:textId="77777777" w:rsidR="00DC296B" w:rsidRDefault="00AC362E">
      <w:pPr>
        <w:spacing w:after="10"/>
      </w:pPr>
      <w:r>
        <w:rPr>
          <w:sz w:val="22"/>
          <w:szCs w:val="22"/>
          <w:u w:val="single"/>
        </w:rPr>
        <w:t xml:space="preserve">Copyright and Trademark: </w:t>
      </w:r>
      <w:r>
        <w:rPr>
          <w:sz w:val="22"/>
          <w:szCs w:val="22"/>
        </w:rPr>
        <w:t>Analysis of harm and public interest involving copyrights and trademarks covering standards incorporated by reference into law.</w:t>
      </w:r>
    </w:p>
    <w:p w14:paraId="7B7BC20F" w14:textId="77777777" w:rsidR="00DC296B" w:rsidRDefault="00AC362E">
      <w:pPr>
        <w:spacing w:before="140" w:after="10"/>
      </w:pPr>
      <w:r>
        <w:rPr>
          <w:b/>
          <w:bCs/>
          <w:i/>
          <w:iCs/>
          <w:sz w:val="22"/>
          <w:szCs w:val="22"/>
        </w:rPr>
        <w:t>The Washington University v. Wisconsin Alumni Research Foundation</w:t>
      </w:r>
    </w:p>
    <w:p w14:paraId="55D0B77A" w14:textId="77777777" w:rsidR="00DC296B" w:rsidRDefault="00AC362E">
      <w:pPr>
        <w:spacing w:after="10"/>
      </w:pPr>
      <w:r>
        <w:rPr>
          <w:i/>
          <w:iCs/>
          <w:sz w:val="22"/>
          <w:szCs w:val="22"/>
        </w:rPr>
        <w:t>United States District Court, District of Delaware (C.A. No. 13-2091 (GMS))</w:t>
      </w:r>
    </w:p>
    <w:p w14:paraId="431BB13E" w14:textId="77777777" w:rsidR="00DC296B" w:rsidRDefault="00AC362E">
      <w:pPr>
        <w:spacing w:after="10"/>
      </w:pPr>
      <w:r>
        <w:rPr>
          <w:sz w:val="22"/>
          <w:szCs w:val="22"/>
          <w:u w:val="single"/>
        </w:rPr>
        <w:t xml:space="preserve">Breach of Contract and Damages: </w:t>
      </w:r>
      <w:r>
        <w:rPr>
          <w:sz w:val="22"/>
          <w:szCs w:val="22"/>
        </w:rPr>
        <w:t>Assessment of consistency of defendant's behavior with contractual obligations and generally accepted industry standards, and estimation of breach of contract damages, in a case involving an inter-institutional agreement concerning a patent used in a brand name drug used to treat kidney disease.</w:t>
      </w:r>
    </w:p>
    <w:p w14:paraId="186B5CE9" w14:textId="77777777" w:rsidR="00DC296B" w:rsidRDefault="00AC362E">
      <w:pPr>
        <w:spacing w:before="140" w:after="10"/>
      </w:pPr>
      <w:r>
        <w:rPr>
          <w:b/>
          <w:bCs/>
          <w:i/>
          <w:iCs/>
          <w:sz w:val="22"/>
          <w:szCs w:val="22"/>
        </w:rPr>
        <w:t>Arctic Cat, Inc. v. Polaris Industries, Inc.</w:t>
      </w:r>
    </w:p>
    <w:p w14:paraId="69D811C3" w14:textId="77777777" w:rsidR="00DC296B" w:rsidRDefault="00AC362E">
      <w:pPr>
        <w:spacing w:after="10"/>
      </w:pPr>
      <w:r>
        <w:rPr>
          <w:i/>
          <w:iCs/>
          <w:sz w:val="22"/>
          <w:szCs w:val="22"/>
        </w:rPr>
        <w:t>United States Patent and Trademark Office (Case IPR2014-01427)</w:t>
      </w:r>
    </w:p>
    <w:p w14:paraId="212E4BBF" w14:textId="77777777" w:rsidR="00DC296B" w:rsidRDefault="00AC362E">
      <w:pPr>
        <w:spacing w:after="10"/>
      </w:pPr>
      <w:r>
        <w:rPr>
          <w:sz w:val="22"/>
          <w:szCs w:val="22"/>
          <w:u w:val="single"/>
        </w:rPr>
        <w:t xml:space="preserve">Commercial Success: </w:t>
      </w:r>
      <w:r>
        <w:rPr>
          <w:sz w:val="22"/>
          <w:szCs w:val="22"/>
        </w:rPr>
        <w:t>Analysis of commercial success involving patents directed to side-by-side all-terrain vehicles.</w:t>
      </w:r>
    </w:p>
    <w:p w14:paraId="081C9311" w14:textId="77777777" w:rsidR="00DC296B" w:rsidRDefault="00AC362E">
      <w:pPr>
        <w:spacing w:before="140" w:after="10"/>
      </w:pPr>
      <w:r>
        <w:rPr>
          <w:b/>
          <w:bCs/>
          <w:i/>
          <w:iCs/>
          <w:sz w:val="22"/>
          <w:szCs w:val="22"/>
        </w:rPr>
        <w:t>Arizona Board of Regents and Arizona State University v. Seattle Genetics, Inc.</w:t>
      </w:r>
    </w:p>
    <w:p w14:paraId="4B429AE3" w14:textId="77777777" w:rsidR="00DC296B" w:rsidRDefault="00AC362E">
      <w:pPr>
        <w:spacing w:after="10"/>
      </w:pPr>
      <w:r>
        <w:rPr>
          <w:i/>
          <w:iCs/>
          <w:sz w:val="22"/>
          <w:szCs w:val="22"/>
        </w:rPr>
        <w:t>United States District Court, District of Arizona (C.A. No. 2:14-cv-00653)</w:t>
      </w:r>
    </w:p>
    <w:p w14:paraId="553CDAA5" w14:textId="77777777" w:rsidR="00DC296B" w:rsidRDefault="00AC362E">
      <w:pPr>
        <w:spacing w:after="10"/>
      </w:pPr>
      <w:r>
        <w:rPr>
          <w:sz w:val="22"/>
          <w:szCs w:val="22"/>
          <w:u w:val="single"/>
        </w:rPr>
        <w:t xml:space="preserve">Patent Infringement: </w:t>
      </w:r>
      <w:r>
        <w:rPr>
          <w:sz w:val="22"/>
          <w:szCs w:val="22"/>
        </w:rPr>
        <w:t>Analysis of reasonable royalty and prejudgment interest involving a patent directed to an anti-cancer treatment.</w:t>
      </w:r>
    </w:p>
    <w:p w14:paraId="1A9CC02A" w14:textId="77777777" w:rsidR="00DC296B" w:rsidRDefault="00AC362E">
      <w:pPr>
        <w:spacing w:before="140" w:after="10"/>
      </w:pPr>
      <w:r>
        <w:rPr>
          <w:b/>
          <w:bCs/>
          <w:i/>
          <w:iCs/>
          <w:sz w:val="22"/>
          <w:szCs w:val="22"/>
        </w:rPr>
        <w:t>Intendis GmbH, Intraserv GmbH &amp; Co.Kg and Bayer Healthcare Pharmaceuticals Inc. v. Glenmark Generics Ltd. and Glenmark Generics Inc., USA</w:t>
      </w:r>
    </w:p>
    <w:p w14:paraId="0A84C508" w14:textId="77777777" w:rsidR="00DC296B" w:rsidRDefault="00AC362E">
      <w:pPr>
        <w:spacing w:after="10"/>
      </w:pPr>
      <w:r>
        <w:rPr>
          <w:i/>
          <w:iCs/>
          <w:sz w:val="22"/>
          <w:szCs w:val="22"/>
        </w:rPr>
        <w:t>United States District Court, District of Delaware (Case No. 13-cv-421-SLR)</w:t>
      </w:r>
    </w:p>
    <w:p w14:paraId="2287791C" w14:textId="77777777" w:rsidR="00DC296B" w:rsidRDefault="00AC362E">
      <w:pPr>
        <w:spacing w:after="10"/>
      </w:pPr>
      <w:r>
        <w:rPr>
          <w:sz w:val="22"/>
          <w:szCs w:val="22"/>
          <w:u w:val="single"/>
        </w:rPr>
        <w:t xml:space="preserve">Commercial Success: </w:t>
      </w:r>
      <w:r>
        <w:rPr>
          <w:sz w:val="22"/>
          <w:szCs w:val="22"/>
        </w:rPr>
        <w:t>Analysis of commercial success involving a patent covering medications used in the treatment of certain skin diseases.</w:t>
      </w:r>
    </w:p>
    <w:p w14:paraId="423DD94D" w14:textId="77777777" w:rsidR="00DC296B" w:rsidRDefault="00AC362E">
      <w:pPr>
        <w:spacing w:before="140" w:after="10"/>
      </w:pPr>
      <w:r>
        <w:rPr>
          <w:b/>
          <w:bCs/>
          <w:i/>
          <w:iCs/>
          <w:sz w:val="22"/>
          <w:szCs w:val="22"/>
        </w:rPr>
        <w:t>In the Matter of Certain Sulfentrazone, Sulfentrazone Compositions, and Processes for Making Sulfentrazone (FMC, Complainant)</w:t>
      </w:r>
    </w:p>
    <w:p w14:paraId="59C6264E" w14:textId="77777777" w:rsidR="00DC296B" w:rsidRDefault="00AC362E">
      <w:pPr>
        <w:spacing w:after="10"/>
      </w:pPr>
      <w:r>
        <w:rPr>
          <w:i/>
          <w:iCs/>
          <w:sz w:val="22"/>
          <w:szCs w:val="22"/>
        </w:rPr>
        <w:t>United States International Trade Commission (Investigation No. 337-TA-914)</w:t>
      </w:r>
    </w:p>
    <w:p w14:paraId="21B8552E" w14:textId="77777777" w:rsidR="00DC296B" w:rsidRDefault="00AC362E">
      <w:pPr>
        <w:spacing w:after="10"/>
      </w:pPr>
      <w:r>
        <w:rPr>
          <w:sz w:val="22"/>
          <w:szCs w:val="22"/>
          <w:u w:val="single"/>
        </w:rPr>
        <w:t xml:space="preserve">Temporary Exclusion Order: </w:t>
      </w:r>
      <w:r>
        <w:rPr>
          <w:sz w:val="22"/>
          <w:szCs w:val="22"/>
        </w:rPr>
        <w:t>Analysis of issues relating to irreparable harm, balance of hardships, and public interest involving a potential exclusion order based on a patent directed to a crop herbicide.</w:t>
      </w:r>
    </w:p>
    <w:p w14:paraId="37A88D32" w14:textId="77777777" w:rsidR="00DC296B" w:rsidRDefault="00AC362E">
      <w:pPr>
        <w:spacing w:before="140" w:after="10"/>
      </w:pPr>
      <w:r>
        <w:rPr>
          <w:b/>
          <w:bCs/>
          <w:i/>
          <w:iCs/>
          <w:sz w:val="22"/>
          <w:szCs w:val="22"/>
        </w:rPr>
        <w:t>In the Matter of Certain Opaque Polymers (Organik Kimya, Respondent)</w:t>
      </w:r>
    </w:p>
    <w:p w14:paraId="583D7594" w14:textId="77777777" w:rsidR="00DC296B" w:rsidRDefault="00AC362E">
      <w:pPr>
        <w:spacing w:after="10"/>
      </w:pPr>
      <w:r>
        <w:rPr>
          <w:i/>
          <w:iCs/>
          <w:sz w:val="22"/>
          <w:szCs w:val="22"/>
        </w:rPr>
        <w:t>United States International Trade Commission (Investigation No. 337-TA-883)</w:t>
      </w:r>
    </w:p>
    <w:p w14:paraId="48D4945E" w14:textId="77777777" w:rsidR="00DC296B" w:rsidRDefault="00AC362E">
      <w:pPr>
        <w:spacing w:after="10"/>
      </w:pPr>
      <w:r>
        <w:rPr>
          <w:sz w:val="22"/>
          <w:szCs w:val="22"/>
          <w:u w:val="single"/>
        </w:rPr>
        <w:t xml:space="preserve">Trade Secrets: </w:t>
      </w:r>
      <w:r>
        <w:rPr>
          <w:sz w:val="22"/>
          <w:szCs w:val="22"/>
        </w:rPr>
        <w:t>Analysis of injury, economic value, and bond requirements involving trade secrets used in the production of opaque polymers.</w:t>
      </w:r>
    </w:p>
    <w:p w14:paraId="1E4CBFAE" w14:textId="77777777" w:rsidR="00DC296B" w:rsidRDefault="00AC362E">
      <w:pPr>
        <w:spacing w:before="140" w:after="10"/>
      </w:pPr>
      <w:r>
        <w:rPr>
          <w:b/>
          <w:bCs/>
          <w:i/>
          <w:iCs/>
          <w:sz w:val="22"/>
          <w:szCs w:val="22"/>
        </w:rPr>
        <w:t>Bayer Crop Science AG, et al. v. Dow AgroSciences LLC, et al.</w:t>
      </w:r>
    </w:p>
    <w:p w14:paraId="01622E69" w14:textId="77777777" w:rsidR="00DC296B" w:rsidRDefault="00AC362E">
      <w:pPr>
        <w:spacing w:after="10"/>
      </w:pPr>
      <w:r>
        <w:rPr>
          <w:i/>
          <w:iCs/>
          <w:sz w:val="22"/>
          <w:szCs w:val="22"/>
        </w:rPr>
        <w:t>International Chamber of Commerce Arbitration Panel</w:t>
      </w:r>
    </w:p>
    <w:p w14:paraId="2E9B2E77" w14:textId="77777777" w:rsidR="00DC296B" w:rsidRDefault="00AC362E">
      <w:pPr>
        <w:spacing w:after="10"/>
      </w:pPr>
      <w:r>
        <w:rPr>
          <w:sz w:val="22"/>
          <w:szCs w:val="22"/>
          <w:u w:val="single"/>
        </w:rPr>
        <w:t xml:space="preserve">Breach of Contract and Patent Infringement: </w:t>
      </w:r>
      <w:r>
        <w:rPr>
          <w:sz w:val="22"/>
          <w:szCs w:val="22"/>
        </w:rPr>
        <w:t>Analysis of breach of contract and patent infringement damages relating to the unauthorized use of patented genes in genetically modified seeds.</w:t>
      </w:r>
    </w:p>
    <w:p w14:paraId="1252472D" w14:textId="77777777" w:rsidR="00DC296B" w:rsidRDefault="00AC362E">
      <w:pPr>
        <w:spacing w:before="140" w:after="10"/>
      </w:pPr>
      <w:r>
        <w:rPr>
          <w:b/>
          <w:bCs/>
          <w:i/>
          <w:iCs/>
          <w:sz w:val="22"/>
          <w:szCs w:val="22"/>
        </w:rPr>
        <w:t>Bayer Healthcare Pharmaceuticals, Inc. and Dow Pharmaceutical Sciences, Inc. v. River's Edge Pharmaceuticals, LLC, Teresina Holdings, LLC, Medical Products Laboratories, Inc. and Stayma Consulting Services, LLC</w:t>
      </w:r>
    </w:p>
    <w:p w14:paraId="7981544F" w14:textId="77777777" w:rsidR="00DC296B" w:rsidRDefault="00AC362E">
      <w:pPr>
        <w:spacing w:after="10"/>
      </w:pPr>
      <w:r>
        <w:rPr>
          <w:i/>
          <w:iCs/>
          <w:sz w:val="22"/>
          <w:szCs w:val="22"/>
        </w:rPr>
        <w:t>United States District Court, Northern District of Georgia, Atlanta Division (Case No. 11-cv-01634-RLV)</w:t>
      </w:r>
    </w:p>
    <w:p w14:paraId="718C63C7" w14:textId="77777777" w:rsidR="00DC296B" w:rsidRDefault="00AC362E">
      <w:pPr>
        <w:spacing w:after="10"/>
      </w:pPr>
      <w:r>
        <w:rPr>
          <w:sz w:val="22"/>
          <w:szCs w:val="22"/>
          <w:u w:val="single"/>
        </w:rPr>
        <w:t xml:space="preserve">Commercial Success: </w:t>
      </w:r>
      <w:r>
        <w:rPr>
          <w:sz w:val="22"/>
          <w:szCs w:val="22"/>
        </w:rPr>
        <w:t>Analysis of commercial success involving a patent covering medications used in the treatment of atopic dermatitis.</w:t>
      </w:r>
    </w:p>
    <w:p w14:paraId="31DCC24E" w14:textId="77777777" w:rsidR="00DC296B" w:rsidRDefault="00AC362E">
      <w:pPr>
        <w:spacing w:before="140" w:after="10"/>
      </w:pPr>
      <w:r>
        <w:rPr>
          <w:b/>
          <w:bCs/>
          <w:i/>
          <w:iCs/>
          <w:sz w:val="22"/>
          <w:szCs w:val="22"/>
        </w:rPr>
        <w:t>Prowess, Inc. v. RaySearch Laboratories AB, et al.</w:t>
      </w:r>
    </w:p>
    <w:p w14:paraId="7D16EB4C" w14:textId="77777777" w:rsidR="00DC296B" w:rsidRDefault="00AC362E">
      <w:pPr>
        <w:spacing w:after="10"/>
      </w:pPr>
      <w:r>
        <w:rPr>
          <w:i/>
          <w:iCs/>
          <w:sz w:val="22"/>
          <w:szCs w:val="22"/>
        </w:rPr>
        <w:lastRenderedPageBreak/>
        <w:t>United States District Court, District of Maryland (Case No. 11 CV 1357 (WDQ))</w:t>
      </w:r>
    </w:p>
    <w:p w14:paraId="734DAEF4" w14:textId="77777777" w:rsidR="00DC296B" w:rsidRDefault="00AC362E">
      <w:pPr>
        <w:spacing w:after="10"/>
      </w:pPr>
      <w:r>
        <w:rPr>
          <w:sz w:val="22"/>
          <w:szCs w:val="22"/>
          <w:u w:val="single"/>
        </w:rPr>
        <w:t xml:space="preserve">Patent Infringement: </w:t>
      </w:r>
      <w:r>
        <w:rPr>
          <w:sz w:val="22"/>
          <w:szCs w:val="22"/>
        </w:rPr>
        <w:t>Analysis of lost profits, reasonable royalty damages, and prejudgment interest involving patents directed to treatment planning software for radiation therapy.</w:t>
      </w:r>
    </w:p>
    <w:p w14:paraId="063DB9A9" w14:textId="77777777" w:rsidR="00DC296B" w:rsidRDefault="00AC362E">
      <w:pPr>
        <w:spacing w:before="140" w:after="10"/>
      </w:pPr>
      <w:r>
        <w:rPr>
          <w:b/>
          <w:bCs/>
          <w:i/>
          <w:iCs/>
          <w:sz w:val="22"/>
          <w:szCs w:val="22"/>
        </w:rPr>
        <w:t>JDS Therapeutics, LLC and Nutrition 21, LLC v. Pfizer Inc., Wyeth LLC, Wyeth Consumer Healthcare Ltd., and Wyeth Consumer Healthcare LLC</w:t>
      </w:r>
    </w:p>
    <w:p w14:paraId="090834FB" w14:textId="77777777" w:rsidR="00DC296B" w:rsidRDefault="00AC362E">
      <w:pPr>
        <w:spacing w:after="10"/>
      </w:pPr>
      <w:r>
        <w:rPr>
          <w:i/>
          <w:iCs/>
          <w:sz w:val="22"/>
          <w:szCs w:val="22"/>
        </w:rPr>
        <w:t>United States District Court, Southern District of New York (Case No. 1:12-cv-09002-JSR)</w:t>
      </w:r>
    </w:p>
    <w:p w14:paraId="1AE53796" w14:textId="77777777" w:rsidR="00DC296B" w:rsidRDefault="00AC362E">
      <w:pPr>
        <w:spacing w:after="10"/>
      </w:pPr>
      <w:r>
        <w:rPr>
          <w:sz w:val="22"/>
          <w:szCs w:val="22"/>
          <w:u w:val="single"/>
        </w:rPr>
        <w:t xml:space="preserve">Commercial Success, Patent Infringement, and Trade Secrets: </w:t>
      </w:r>
      <w:r>
        <w:rPr>
          <w:sz w:val="22"/>
          <w:szCs w:val="22"/>
        </w:rPr>
        <w:t>Analysis of commercial success, reasonable royalty damages, and unjust enrichment involving patents and trade secrets directed to the use of chromium picolinate in multi-vitamins.</w:t>
      </w:r>
    </w:p>
    <w:p w14:paraId="66922405" w14:textId="77777777" w:rsidR="00DC296B" w:rsidRDefault="00AC362E">
      <w:pPr>
        <w:spacing w:before="140" w:after="10"/>
      </w:pPr>
      <w:r>
        <w:rPr>
          <w:b/>
          <w:bCs/>
          <w:i/>
          <w:iCs/>
          <w:sz w:val="22"/>
          <w:szCs w:val="22"/>
        </w:rPr>
        <w:t>Impulse Technology Ltd. v. Microsoft Corporation, Electronic Arts, Inc., Ubisoft Holdings, Inc., and Konami Digital Entertainment Inc.</w:t>
      </w:r>
    </w:p>
    <w:p w14:paraId="0F7CCC4E" w14:textId="77777777" w:rsidR="00DC296B" w:rsidRDefault="00AC362E">
      <w:pPr>
        <w:spacing w:after="10"/>
      </w:pPr>
      <w:r>
        <w:rPr>
          <w:i/>
          <w:iCs/>
          <w:sz w:val="22"/>
          <w:szCs w:val="22"/>
        </w:rPr>
        <w:t>United States District Court, District of Delaware (Case No. 11-586-RGA-CJB)</w:t>
      </w:r>
    </w:p>
    <w:p w14:paraId="41B682CF" w14:textId="77777777" w:rsidR="00DC296B" w:rsidRDefault="00AC362E">
      <w:pPr>
        <w:spacing w:after="10"/>
      </w:pPr>
      <w:r>
        <w:rPr>
          <w:sz w:val="22"/>
          <w:szCs w:val="22"/>
          <w:u w:val="single"/>
        </w:rPr>
        <w:t xml:space="preserve">Patent Infringement: </w:t>
      </w:r>
      <w:r>
        <w:rPr>
          <w:sz w:val="22"/>
          <w:szCs w:val="22"/>
        </w:rPr>
        <w:t>Analysis of reasonable royalty damages involving patents directed to video game motion detection functionalities.</w:t>
      </w:r>
    </w:p>
    <w:p w14:paraId="11C51B10" w14:textId="77777777" w:rsidR="00DC296B" w:rsidRDefault="00AC362E">
      <w:pPr>
        <w:spacing w:before="140" w:after="10"/>
      </w:pPr>
      <w:r>
        <w:rPr>
          <w:b/>
          <w:bCs/>
          <w:i/>
          <w:iCs/>
          <w:sz w:val="22"/>
          <w:szCs w:val="22"/>
        </w:rPr>
        <w:t>LendingTree, LLC v. Zillow, Inc., NexTag, Inc., and Adchemy, Inc.</w:t>
      </w:r>
    </w:p>
    <w:p w14:paraId="51AC02D0" w14:textId="77777777" w:rsidR="00DC296B" w:rsidRDefault="00AC362E">
      <w:pPr>
        <w:spacing w:after="10"/>
      </w:pPr>
      <w:r>
        <w:rPr>
          <w:i/>
          <w:iCs/>
          <w:sz w:val="22"/>
          <w:szCs w:val="22"/>
        </w:rPr>
        <w:t>United States District Court, Western District of North Carolina, Charlotte Division (Case No. 3:10-cv-439-FDW-DCK)</w:t>
      </w:r>
    </w:p>
    <w:p w14:paraId="4EF4C2C6" w14:textId="77777777" w:rsidR="00DC296B" w:rsidRDefault="00AC362E">
      <w:pPr>
        <w:spacing w:after="10"/>
      </w:pPr>
      <w:r>
        <w:rPr>
          <w:sz w:val="22"/>
          <w:szCs w:val="22"/>
          <w:u w:val="single"/>
        </w:rPr>
        <w:t xml:space="preserve">Patent Infringement: </w:t>
      </w:r>
      <w:r>
        <w:rPr>
          <w:sz w:val="22"/>
          <w:szCs w:val="22"/>
        </w:rPr>
        <w:t>Analysis of reasonable royalty damages involving patents directed to internet loan matching systems.</w:t>
      </w:r>
    </w:p>
    <w:p w14:paraId="1EE0FE46" w14:textId="77777777" w:rsidR="00DC296B" w:rsidRDefault="00AC362E">
      <w:pPr>
        <w:spacing w:before="140" w:after="10"/>
      </w:pPr>
      <w:r>
        <w:rPr>
          <w:b/>
          <w:bCs/>
          <w:i/>
          <w:iCs/>
          <w:sz w:val="22"/>
          <w:szCs w:val="22"/>
        </w:rPr>
        <w:t>Medicis Pharmaceutical Corporation; Dow Pharmaceutical Sciences, Inc.; and Alyzan, Inc. v. Actavis Mid Atlantic LLC</w:t>
      </w:r>
    </w:p>
    <w:p w14:paraId="38877CD3" w14:textId="77777777" w:rsidR="00DC296B" w:rsidRDefault="00AC362E">
      <w:pPr>
        <w:spacing w:after="10"/>
      </w:pPr>
      <w:r>
        <w:rPr>
          <w:i/>
          <w:iCs/>
          <w:sz w:val="22"/>
          <w:szCs w:val="22"/>
        </w:rPr>
        <w:t>United States District Court, District of Delaware (Case No. 11-CV-409)</w:t>
      </w:r>
    </w:p>
    <w:p w14:paraId="40CC89BD" w14:textId="77777777" w:rsidR="00DC296B" w:rsidRDefault="00AC362E">
      <w:pPr>
        <w:spacing w:after="10"/>
      </w:pPr>
      <w:r>
        <w:rPr>
          <w:sz w:val="22"/>
          <w:szCs w:val="22"/>
          <w:u w:val="single"/>
        </w:rPr>
        <w:t xml:space="preserve">Commercial Success: </w:t>
      </w:r>
      <w:r>
        <w:rPr>
          <w:sz w:val="22"/>
          <w:szCs w:val="22"/>
        </w:rPr>
        <w:t>Analysis of commercial success involving a patent directed to delivery vehicles for treatment of dermatological disorders.</w:t>
      </w:r>
    </w:p>
    <w:p w14:paraId="01CCDE66" w14:textId="77777777" w:rsidR="00DC296B" w:rsidRDefault="00AC362E">
      <w:pPr>
        <w:spacing w:before="140" w:after="10"/>
      </w:pPr>
      <w:r>
        <w:rPr>
          <w:b/>
          <w:bCs/>
          <w:i/>
          <w:iCs/>
          <w:sz w:val="22"/>
          <w:szCs w:val="22"/>
        </w:rPr>
        <w:t>Epos Technologies Ltd.; Dane-Elec S.A.; Dane-Elec Memory S.A.; and Dane-Elec Corporation USA v. Pegasus Technologies Ltd. and Luidia, Inc.</w:t>
      </w:r>
    </w:p>
    <w:p w14:paraId="2B7C8E27" w14:textId="77777777" w:rsidR="00DC296B" w:rsidRDefault="00AC362E">
      <w:pPr>
        <w:spacing w:after="10"/>
      </w:pPr>
      <w:r>
        <w:rPr>
          <w:i/>
          <w:iCs/>
          <w:sz w:val="22"/>
          <w:szCs w:val="22"/>
        </w:rPr>
        <w:t>United States District Court, District of Columbia (Case No. 07-cv-00416-WMN)</w:t>
      </w:r>
    </w:p>
    <w:p w14:paraId="64663041" w14:textId="77777777" w:rsidR="00DC296B" w:rsidRDefault="00AC362E">
      <w:pPr>
        <w:spacing w:after="10"/>
      </w:pPr>
      <w:r>
        <w:rPr>
          <w:sz w:val="22"/>
          <w:szCs w:val="22"/>
          <w:u w:val="single"/>
        </w:rPr>
        <w:t xml:space="preserve">Patent Infringement: </w:t>
      </w:r>
      <w:r>
        <w:rPr>
          <w:sz w:val="22"/>
          <w:szCs w:val="22"/>
        </w:rPr>
        <w:t>Analysis of lost profits, reasonable royalty damages, and prejudgment interest involving patents directed to digital pen products.</w:t>
      </w:r>
    </w:p>
    <w:p w14:paraId="3F562666" w14:textId="77777777" w:rsidR="00DC296B" w:rsidRDefault="00AC362E">
      <w:pPr>
        <w:spacing w:before="140" w:after="10"/>
      </w:pPr>
      <w:r>
        <w:rPr>
          <w:b/>
          <w:bCs/>
          <w:i/>
          <w:iCs/>
          <w:sz w:val="22"/>
          <w:szCs w:val="22"/>
        </w:rPr>
        <w:t>Dyson Technology Limited and Dyson, Inc. v. Cornucopia Products, LLC</w:t>
      </w:r>
    </w:p>
    <w:p w14:paraId="670BE966" w14:textId="77777777" w:rsidR="00DC296B" w:rsidRDefault="00AC362E">
      <w:pPr>
        <w:spacing w:after="10"/>
      </w:pPr>
      <w:r>
        <w:rPr>
          <w:i/>
          <w:iCs/>
          <w:sz w:val="22"/>
          <w:szCs w:val="22"/>
        </w:rPr>
        <w:t>United States District Court, District of Arizona (Case No. 2:12-cv-00924-ROS)</w:t>
      </w:r>
    </w:p>
    <w:p w14:paraId="4F05DFCC" w14:textId="77777777" w:rsidR="00DC296B" w:rsidRDefault="00AC362E">
      <w:pPr>
        <w:spacing w:after="10"/>
      </w:pPr>
      <w:r>
        <w:rPr>
          <w:sz w:val="22"/>
          <w:szCs w:val="22"/>
          <w:u w:val="single"/>
        </w:rPr>
        <w:t xml:space="preserve">Irreparable Harm: </w:t>
      </w:r>
      <w:r>
        <w:rPr>
          <w:sz w:val="22"/>
          <w:szCs w:val="22"/>
        </w:rPr>
        <w:t>Analysis of irreparable harm involving patents directed to bladeless fans.</w:t>
      </w:r>
    </w:p>
    <w:p w14:paraId="2F67649C" w14:textId="77777777" w:rsidR="00DC296B" w:rsidRDefault="00AC362E">
      <w:pPr>
        <w:spacing w:before="140" w:after="10"/>
      </w:pPr>
      <w:r>
        <w:rPr>
          <w:b/>
          <w:bCs/>
          <w:i/>
          <w:iCs/>
          <w:sz w:val="22"/>
          <w:szCs w:val="22"/>
        </w:rPr>
        <w:t>I.E.E. International Electronics &amp; Engineering, S.A. and IEE Sensing, Inc. v. TK Holdings, Inc.</w:t>
      </w:r>
    </w:p>
    <w:p w14:paraId="2C8B83CC" w14:textId="77777777" w:rsidR="00DC296B" w:rsidRDefault="00AC362E">
      <w:pPr>
        <w:spacing w:after="10"/>
      </w:pPr>
      <w:r>
        <w:rPr>
          <w:i/>
          <w:iCs/>
          <w:sz w:val="22"/>
          <w:szCs w:val="22"/>
        </w:rPr>
        <w:t>United States District Court, Eastern District of Michigan (Case No. 2:10-cv-13487)</w:t>
      </w:r>
    </w:p>
    <w:p w14:paraId="7F4BFBC0" w14:textId="77777777" w:rsidR="00DC296B" w:rsidRDefault="00AC362E">
      <w:pPr>
        <w:spacing w:after="10"/>
      </w:pPr>
      <w:r>
        <w:rPr>
          <w:sz w:val="22"/>
          <w:szCs w:val="22"/>
          <w:u w:val="single"/>
        </w:rPr>
        <w:t xml:space="preserve">Patent Infringement: </w:t>
      </w:r>
      <w:r>
        <w:rPr>
          <w:sz w:val="22"/>
          <w:szCs w:val="22"/>
        </w:rPr>
        <w:t>Analysis of lost profits, reasonable royalty damages, and prejudgment interest involving patents directed to capacitive sensing used in automotive seats.</w:t>
      </w:r>
    </w:p>
    <w:p w14:paraId="2106025E" w14:textId="77777777" w:rsidR="00DC296B" w:rsidRDefault="00AC362E">
      <w:pPr>
        <w:spacing w:before="140" w:after="10"/>
      </w:pPr>
      <w:r>
        <w:rPr>
          <w:b/>
          <w:bCs/>
          <w:i/>
          <w:iCs/>
          <w:sz w:val="22"/>
          <w:szCs w:val="22"/>
        </w:rPr>
        <w:t>St. Clair Intellectual Property Consultants, Inc. v. Acer, Inc., et al. / Microsoft Corporation v. St. Clair Intellectual Property Consultants, Inc.</w:t>
      </w:r>
    </w:p>
    <w:p w14:paraId="7E958F4F" w14:textId="77777777" w:rsidR="00DC296B" w:rsidRDefault="00AC362E">
      <w:pPr>
        <w:spacing w:after="10"/>
      </w:pPr>
      <w:r>
        <w:rPr>
          <w:i/>
          <w:iCs/>
          <w:sz w:val="22"/>
          <w:szCs w:val="22"/>
        </w:rPr>
        <w:t>United States District Court, District of Delaware (Case Nos. 09-354-JJF, 09-704-JJF and 10-282-LPS)</w:t>
      </w:r>
    </w:p>
    <w:p w14:paraId="4AA7CE9F" w14:textId="77777777" w:rsidR="00DC296B" w:rsidRDefault="00AC362E">
      <w:pPr>
        <w:spacing w:after="10"/>
      </w:pPr>
      <w:r>
        <w:rPr>
          <w:sz w:val="22"/>
          <w:szCs w:val="22"/>
          <w:u w:val="single"/>
        </w:rPr>
        <w:t xml:space="preserve">Patent Infringement: </w:t>
      </w:r>
      <w:r>
        <w:rPr>
          <w:sz w:val="22"/>
          <w:szCs w:val="22"/>
        </w:rPr>
        <w:t>Analysis of reasonable royalty damages and prejudgment interest involving patents directed to power management, bus configuration, and card slot technology in laptops and desktops.</w:t>
      </w:r>
    </w:p>
    <w:p w14:paraId="22AE8C98" w14:textId="77777777" w:rsidR="00DC296B" w:rsidRDefault="00AC362E">
      <w:pPr>
        <w:spacing w:before="140" w:after="10"/>
      </w:pPr>
      <w:r>
        <w:rPr>
          <w:b/>
          <w:bCs/>
          <w:i/>
          <w:iCs/>
          <w:sz w:val="22"/>
          <w:szCs w:val="22"/>
        </w:rPr>
        <w:t>CardioFocus, Inc. v. Xintec Corporation (d/b/a Convergent Laser Technologies); Trimedyne, Inc.; and Cardiogenesis Corporation</w:t>
      </w:r>
    </w:p>
    <w:p w14:paraId="1D546D1A" w14:textId="77777777" w:rsidR="00DC296B" w:rsidRDefault="00AC362E">
      <w:pPr>
        <w:spacing w:after="10"/>
      </w:pPr>
      <w:r>
        <w:rPr>
          <w:i/>
          <w:iCs/>
          <w:sz w:val="22"/>
          <w:szCs w:val="22"/>
        </w:rPr>
        <w:t>United States District Court, District of Massachusetts (Case No. 1:08-cv-10285 NMG)</w:t>
      </w:r>
    </w:p>
    <w:p w14:paraId="4AEA35AB" w14:textId="77777777" w:rsidR="00DC296B" w:rsidRDefault="00AC362E">
      <w:pPr>
        <w:spacing w:after="10"/>
      </w:pPr>
      <w:r>
        <w:rPr>
          <w:sz w:val="22"/>
          <w:szCs w:val="22"/>
          <w:u w:val="single"/>
        </w:rPr>
        <w:t xml:space="preserve">Patent Infringement: </w:t>
      </w:r>
      <w:r>
        <w:rPr>
          <w:sz w:val="22"/>
          <w:szCs w:val="22"/>
        </w:rPr>
        <w:t>Analysis of reasonable royalty damages and prejudgment interest involving patents directed to laser devices used for the treatment of advanced coronary artery disease.</w:t>
      </w:r>
    </w:p>
    <w:p w14:paraId="1619B5F1" w14:textId="77777777" w:rsidR="00DC296B" w:rsidRDefault="00AC362E">
      <w:pPr>
        <w:spacing w:before="140" w:after="10"/>
      </w:pPr>
      <w:r>
        <w:rPr>
          <w:b/>
          <w:bCs/>
          <w:i/>
          <w:iCs/>
          <w:sz w:val="22"/>
          <w:szCs w:val="22"/>
        </w:rPr>
        <w:t>General Assurance Of America, Inc. v. Overby-Seawell Company</w:t>
      </w:r>
    </w:p>
    <w:p w14:paraId="7365A9B3" w14:textId="77777777" w:rsidR="00DC296B" w:rsidRDefault="00AC362E">
      <w:pPr>
        <w:spacing w:after="10"/>
      </w:pPr>
      <w:r>
        <w:rPr>
          <w:i/>
          <w:iCs/>
          <w:sz w:val="22"/>
          <w:szCs w:val="22"/>
        </w:rPr>
        <w:lastRenderedPageBreak/>
        <w:t>United States District Court, Eastern District of Virginia, Alexandria Division (Civil Action No. 1:11CV483 TSE/JFA)</w:t>
      </w:r>
    </w:p>
    <w:p w14:paraId="1E2C3F5A" w14:textId="77777777" w:rsidR="00DC296B" w:rsidRDefault="00AC362E">
      <w:pPr>
        <w:spacing w:after="10"/>
      </w:pPr>
      <w:r>
        <w:rPr>
          <w:sz w:val="22"/>
          <w:szCs w:val="22"/>
          <w:u w:val="single"/>
        </w:rPr>
        <w:t xml:space="preserve">Contract Damages: </w:t>
      </w:r>
      <w:r>
        <w:rPr>
          <w:sz w:val="22"/>
          <w:szCs w:val="22"/>
        </w:rPr>
        <w:t>Analysis of lost profits damages involving the alleged breach of the terms of a confidentiality agreement in a contract involving the provision of collateral tracking services.</w:t>
      </w:r>
    </w:p>
    <w:p w14:paraId="228714F9" w14:textId="77777777" w:rsidR="00DC296B" w:rsidRDefault="00AC362E">
      <w:pPr>
        <w:spacing w:before="140" w:after="10"/>
      </w:pPr>
      <w:r>
        <w:rPr>
          <w:b/>
          <w:bCs/>
          <w:i/>
          <w:iCs/>
          <w:sz w:val="22"/>
          <w:szCs w:val="22"/>
        </w:rPr>
        <w:t>Frontline Placement Technologies, Inc. v. CRS, Inc.</w:t>
      </w:r>
    </w:p>
    <w:p w14:paraId="333C4D8E" w14:textId="77777777" w:rsidR="00DC296B" w:rsidRDefault="00AC362E">
      <w:pPr>
        <w:spacing w:after="10"/>
      </w:pPr>
      <w:r>
        <w:rPr>
          <w:i/>
          <w:iCs/>
          <w:sz w:val="22"/>
          <w:szCs w:val="22"/>
        </w:rPr>
        <w:t>United States District Court, Eastern District of Pennsylvania (Case No. 2:07-CV-2457)</w:t>
      </w:r>
    </w:p>
    <w:p w14:paraId="2B7803CC" w14:textId="77777777" w:rsidR="00DC296B" w:rsidRDefault="00AC362E">
      <w:pPr>
        <w:spacing w:after="10"/>
      </w:pPr>
      <w:r>
        <w:rPr>
          <w:sz w:val="22"/>
          <w:szCs w:val="22"/>
          <w:u w:val="single"/>
        </w:rPr>
        <w:t xml:space="preserve">Patent Infringement: </w:t>
      </w:r>
      <w:r>
        <w:rPr>
          <w:sz w:val="22"/>
          <w:szCs w:val="22"/>
        </w:rPr>
        <w:t>Analysis of lost profits, lost royalties, reasonable royalty, and prejudgment interest involving a patent and contract directed to automated substitute fulfillment software.</w:t>
      </w:r>
    </w:p>
    <w:p w14:paraId="36368054" w14:textId="77777777" w:rsidR="00DC296B" w:rsidRDefault="00AC362E">
      <w:pPr>
        <w:spacing w:before="140" w:after="10"/>
      </w:pPr>
      <w:r>
        <w:rPr>
          <w:b/>
          <w:bCs/>
          <w:i/>
          <w:iCs/>
          <w:sz w:val="22"/>
          <w:szCs w:val="22"/>
        </w:rPr>
        <w:t>Beverly Clark, et al. v. Prudential Insurance Company Of America</w:t>
      </w:r>
    </w:p>
    <w:p w14:paraId="63E5DA79" w14:textId="77777777" w:rsidR="00DC296B" w:rsidRDefault="00AC362E">
      <w:pPr>
        <w:spacing w:after="10"/>
      </w:pPr>
      <w:r>
        <w:rPr>
          <w:i/>
          <w:iCs/>
          <w:sz w:val="22"/>
          <w:szCs w:val="22"/>
        </w:rPr>
        <w:t>United States District Court, District of New Jersey (Civil Action No. 2:08-CV-06197-D.N.J.)</w:t>
      </w:r>
    </w:p>
    <w:p w14:paraId="03FB4A7F" w14:textId="77777777" w:rsidR="00DC296B" w:rsidRDefault="00AC362E">
      <w:pPr>
        <w:spacing w:after="10"/>
      </w:pPr>
      <w:r>
        <w:rPr>
          <w:sz w:val="22"/>
          <w:szCs w:val="22"/>
          <w:u w:val="single"/>
        </w:rPr>
        <w:t xml:space="preserve">Class Certification: </w:t>
      </w:r>
      <w:r>
        <w:rPr>
          <w:sz w:val="22"/>
          <w:szCs w:val="22"/>
        </w:rPr>
        <w:t>Evaluation of whether the existence and extent of damages to members of the proposed class of former and existing subscribers to a discontinued health insurance product can be determined using a common method of proof without individual inquiry.</w:t>
      </w:r>
    </w:p>
    <w:p w14:paraId="5A65AB40" w14:textId="77777777" w:rsidR="00DC296B" w:rsidRDefault="00AC362E">
      <w:pPr>
        <w:spacing w:before="140" w:after="10"/>
      </w:pPr>
      <w:r>
        <w:rPr>
          <w:b/>
          <w:bCs/>
          <w:i/>
          <w:iCs/>
          <w:sz w:val="22"/>
          <w:szCs w:val="22"/>
        </w:rPr>
        <w:t>Herschel W. Blumberg, et al. v. Arent Fox, et al.</w:t>
      </w:r>
    </w:p>
    <w:p w14:paraId="09678A2C" w14:textId="77777777" w:rsidR="00DC296B" w:rsidRDefault="00AC362E">
      <w:pPr>
        <w:spacing w:after="10"/>
      </w:pPr>
      <w:r>
        <w:rPr>
          <w:i/>
          <w:iCs/>
          <w:sz w:val="22"/>
          <w:szCs w:val="22"/>
        </w:rPr>
        <w:t>Circuit Court for Montgomery County, Maryland (Case No. 339964)</w:t>
      </w:r>
    </w:p>
    <w:p w14:paraId="642C7E3E" w14:textId="77777777" w:rsidR="00DC296B" w:rsidRDefault="00AC362E">
      <w:pPr>
        <w:spacing w:after="10"/>
      </w:pPr>
      <w:r>
        <w:rPr>
          <w:sz w:val="22"/>
          <w:szCs w:val="22"/>
          <w:u w:val="single"/>
        </w:rPr>
        <w:t xml:space="preserve">Fiduciary Duty: </w:t>
      </w:r>
      <w:r>
        <w:rPr>
          <w:sz w:val="22"/>
          <w:szCs w:val="22"/>
        </w:rPr>
        <w:t>Evaluation of trustee compliance with fiduciary obligations concerning management of trust assets.</w:t>
      </w:r>
    </w:p>
    <w:p w14:paraId="19F3FC93" w14:textId="77777777" w:rsidR="00DC296B" w:rsidRDefault="00AC362E">
      <w:pPr>
        <w:spacing w:before="140" w:after="10"/>
      </w:pPr>
      <w:r>
        <w:rPr>
          <w:b/>
          <w:bCs/>
          <w:i/>
          <w:iCs/>
          <w:sz w:val="22"/>
          <w:szCs w:val="22"/>
        </w:rPr>
        <w:t>Fairey and Obey Giant Art, Inc. v. The Associated Press v. Shepard Fairey, Obey Giant Art, Inc., Obey Giant LLC, Studio Number One, Inc. and One 3 Two, Inc.</w:t>
      </w:r>
    </w:p>
    <w:p w14:paraId="402D4408" w14:textId="77777777" w:rsidR="00DC296B" w:rsidRDefault="00AC362E">
      <w:pPr>
        <w:spacing w:after="10"/>
      </w:pPr>
      <w:r>
        <w:rPr>
          <w:i/>
          <w:iCs/>
          <w:sz w:val="22"/>
          <w:szCs w:val="22"/>
        </w:rPr>
        <w:t>United States District Court, Southern District of New York (Case No. 09-01123 (AKH))</w:t>
      </w:r>
    </w:p>
    <w:p w14:paraId="2397BC54" w14:textId="77777777" w:rsidR="00DC296B" w:rsidRDefault="00AC362E">
      <w:pPr>
        <w:spacing w:after="10"/>
      </w:pPr>
      <w:r>
        <w:rPr>
          <w:sz w:val="22"/>
          <w:szCs w:val="22"/>
          <w:u w:val="single"/>
        </w:rPr>
        <w:t xml:space="preserve">Copyright: </w:t>
      </w:r>
      <w:r>
        <w:rPr>
          <w:sz w:val="22"/>
          <w:szCs w:val="22"/>
        </w:rPr>
        <w:t>Analysis of fair use, damages, and profits involving use of a copyrighted photograph of President Obama by Shepard Fairey in creating a campaign poster and other works of art.</w:t>
      </w:r>
    </w:p>
    <w:p w14:paraId="0F2098B1" w14:textId="77777777" w:rsidR="00DC296B" w:rsidRDefault="00AC362E">
      <w:pPr>
        <w:spacing w:before="140" w:after="10"/>
      </w:pPr>
      <w:r>
        <w:rPr>
          <w:b/>
          <w:bCs/>
          <w:i/>
          <w:iCs/>
          <w:sz w:val="22"/>
          <w:szCs w:val="22"/>
        </w:rPr>
        <w:t>Affinity Labs of Texas, LLC v. BMW North America, LLC, et al.</w:t>
      </w:r>
    </w:p>
    <w:p w14:paraId="708E7E49" w14:textId="77777777" w:rsidR="00DC296B" w:rsidRDefault="00AC362E">
      <w:pPr>
        <w:spacing w:after="10"/>
      </w:pPr>
      <w:r>
        <w:rPr>
          <w:i/>
          <w:iCs/>
          <w:sz w:val="22"/>
          <w:szCs w:val="22"/>
        </w:rPr>
        <w:t>United States District Court, Eastern District of Texas, Lufkin Division (Case No. 9:08-CV-00164-RC)</w:t>
      </w:r>
    </w:p>
    <w:p w14:paraId="258FBB5F" w14:textId="77777777" w:rsidR="00DC296B" w:rsidRDefault="00AC362E">
      <w:pPr>
        <w:spacing w:after="10"/>
      </w:pPr>
      <w:r>
        <w:rPr>
          <w:sz w:val="22"/>
          <w:szCs w:val="22"/>
          <w:u w:val="single"/>
        </w:rPr>
        <w:t xml:space="preserve">Patent Infringement: </w:t>
      </w:r>
      <w:r>
        <w:rPr>
          <w:sz w:val="22"/>
          <w:szCs w:val="22"/>
        </w:rPr>
        <w:t>Analysis of reasonable royalty damages in a case involving patents directed to connecting a portable audio player to an automobile sound system.</w:t>
      </w:r>
    </w:p>
    <w:p w14:paraId="1613E0F0" w14:textId="77777777" w:rsidR="00DC296B" w:rsidRDefault="00AC362E">
      <w:pPr>
        <w:spacing w:before="140" w:after="10"/>
      </w:pPr>
      <w:r>
        <w:rPr>
          <w:b/>
          <w:bCs/>
          <w:i/>
          <w:iCs/>
          <w:sz w:val="22"/>
          <w:szCs w:val="22"/>
        </w:rPr>
        <w:t>Regents of the University of Minnesota v. AGA Medical Corp.</w:t>
      </w:r>
    </w:p>
    <w:p w14:paraId="13A91E39" w14:textId="77777777" w:rsidR="00DC296B" w:rsidRDefault="00AC362E">
      <w:pPr>
        <w:spacing w:after="10"/>
      </w:pPr>
      <w:r>
        <w:rPr>
          <w:i/>
          <w:iCs/>
          <w:sz w:val="22"/>
          <w:szCs w:val="22"/>
        </w:rPr>
        <w:t>United States District Court, District of Minnesota (Case No. 0:07-cv-04732 (PJS/RLE))</w:t>
      </w:r>
    </w:p>
    <w:p w14:paraId="59F92BAD" w14:textId="77777777" w:rsidR="00DC296B" w:rsidRDefault="00AC362E">
      <w:pPr>
        <w:spacing w:after="10"/>
      </w:pPr>
      <w:r>
        <w:rPr>
          <w:sz w:val="22"/>
          <w:szCs w:val="22"/>
          <w:u w:val="single"/>
        </w:rPr>
        <w:t xml:space="preserve">Patent Infringement: </w:t>
      </w:r>
      <w:r>
        <w:rPr>
          <w:sz w:val="22"/>
          <w:szCs w:val="22"/>
        </w:rPr>
        <w:t>Analysis of reasonable royalty damages in a case involving patents directed to septal occlusion devices.</w:t>
      </w:r>
    </w:p>
    <w:p w14:paraId="470D63D0" w14:textId="77777777" w:rsidR="00DC296B" w:rsidRDefault="00AC362E">
      <w:pPr>
        <w:spacing w:before="140" w:after="10"/>
      </w:pPr>
      <w:r>
        <w:rPr>
          <w:b/>
          <w:bCs/>
          <w:i/>
          <w:iCs/>
          <w:sz w:val="22"/>
          <w:szCs w:val="22"/>
        </w:rPr>
        <w:t>LifeWatch Services, Inc. and Card Guard Scientific Survival, LTD. v. Medicomp, Inc. and United Therapeutics Corp.</w:t>
      </w:r>
    </w:p>
    <w:p w14:paraId="67BB05D7" w14:textId="77777777" w:rsidR="00DC296B" w:rsidRDefault="00AC362E">
      <w:pPr>
        <w:spacing w:after="10"/>
      </w:pPr>
      <w:r>
        <w:rPr>
          <w:i/>
          <w:iCs/>
          <w:sz w:val="22"/>
          <w:szCs w:val="22"/>
        </w:rPr>
        <w:t>United States District Court, Middle District of Florida, Orlando Division (Case No. 6:09-cv-1909-Orl-31DAB)</w:t>
      </w:r>
    </w:p>
    <w:p w14:paraId="0CDBFCCC" w14:textId="77777777" w:rsidR="00DC296B" w:rsidRDefault="00AC362E">
      <w:pPr>
        <w:spacing w:after="10"/>
      </w:pPr>
      <w:r>
        <w:rPr>
          <w:sz w:val="22"/>
          <w:szCs w:val="22"/>
          <w:u w:val="single"/>
        </w:rPr>
        <w:t xml:space="preserve">Preliminary Injunction: </w:t>
      </w:r>
      <w:r>
        <w:rPr>
          <w:sz w:val="22"/>
          <w:szCs w:val="22"/>
        </w:rPr>
        <w:t>Analysis of issues relating to the appropriateness of preliminary injunctive relief in a matter involving patents directed to ambulatory arrhythmia monitoring solutions.</w:t>
      </w:r>
    </w:p>
    <w:p w14:paraId="6E7DE2F7" w14:textId="77777777" w:rsidR="00DC296B" w:rsidRDefault="00AC362E">
      <w:pPr>
        <w:spacing w:before="140" w:after="10"/>
      </w:pPr>
      <w:r>
        <w:rPr>
          <w:b/>
          <w:bCs/>
          <w:i/>
          <w:iCs/>
          <w:sz w:val="22"/>
          <w:szCs w:val="22"/>
        </w:rPr>
        <w:t>Cerner Corp. v. Visicu, Inc.</w:t>
      </w:r>
    </w:p>
    <w:p w14:paraId="6E791B28" w14:textId="77777777" w:rsidR="00DC296B" w:rsidRDefault="00AC362E">
      <w:pPr>
        <w:spacing w:after="10"/>
      </w:pPr>
      <w:r>
        <w:rPr>
          <w:i/>
          <w:iCs/>
          <w:sz w:val="22"/>
          <w:szCs w:val="22"/>
        </w:rPr>
        <w:t>United States District Court, Western District of Missouri, Western Division (Case No. 04-1033-CV-W-GAF)</w:t>
      </w:r>
    </w:p>
    <w:p w14:paraId="3713D06F" w14:textId="77777777" w:rsidR="00DC296B" w:rsidRDefault="00AC362E">
      <w:pPr>
        <w:spacing w:after="10"/>
      </w:pPr>
      <w:r>
        <w:rPr>
          <w:sz w:val="22"/>
          <w:szCs w:val="22"/>
          <w:u w:val="single"/>
        </w:rPr>
        <w:t xml:space="preserve">Patent Infringement: </w:t>
      </w:r>
      <w:r>
        <w:rPr>
          <w:sz w:val="22"/>
          <w:szCs w:val="22"/>
        </w:rPr>
        <w:t>Analysis of lost profits and reasonable royalty damages in a case involving patents directed to remote intensive care unit monitoring systems.</w:t>
      </w:r>
    </w:p>
    <w:p w14:paraId="0E2FF264" w14:textId="77777777" w:rsidR="00DC296B" w:rsidRDefault="00AC362E">
      <w:pPr>
        <w:spacing w:before="140" w:after="10"/>
      </w:pPr>
      <w:r>
        <w:rPr>
          <w:b/>
          <w:bCs/>
          <w:i/>
          <w:iCs/>
          <w:sz w:val="22"/>
          <w:szCs w:val="22"/>
        </w:rPr>
        <w:t>In re: Zyprexa Products Liability Litigation</w:t>
      </w:r>
    </w:p>
    <w:p w14:paraId="6072A56B" w14:textId="77777777" w:rsidR="00DC296B" w:rsidRDefault="00AC362E">
      <w:pPr>
        <w:spacing w:after="10"/>
      </w:pPr>
      <w:r>
        <w:rPr>
          <w:i/>
          <w:iCs/>
          <w:sz w:val="22"/>
          <w:szCs w:val="22"/>
        </w:rPr>
        <w:t>United States District Court, Eastern District of New York (MDL No. 1596)</w:t>
      </w:r>
    </w:p>
    <w:p w14:paraId="2940D177" w14:textId="77777777" w:rsidR="00DC296B" w:rsidRDefault="00AC362E">
      <w:pPr>
        <w:spacing w:after="10"/>
      </w:pPr>
      <w:r>
        <w:rPr>
          <w:sz w:val="22"/>
          <w:szCs w:val="22"/>
          <w:u w:val="single"/>
        </w:rPr>
        <w:t xml:space="preserve">False Advertising: </w:t>
      </w:r>
      <w:r>
        <w:rPr>
          <w:sz w:val="22"/>
          <w:szCs w:val="22"/>
        </w:rPr>
        <w:t>Examination of damages claims relating to allegations of improper promotion of the antipsychotic drug Zyprexa.</w:t>
      </w:r>
    </w:p>
    <w:p w14:paraId="36B082AB" w14:textId="77777777" w:rsidR="00DC296B" w:rsidRDefault="00AC362E">
      <w:pPr>
        <w:spacing w:before="140" w:after="10"/>
      </w:pPr>
      <w:r>
        <w:rPr>
          <w:b/>
          <w:bCs/>
          <w:i/>
          <w:iCs/>
          <w:sz w:val="22"/>
          <w:szCs w:val="22"/>
        </w:rPr>
        <w:t>Sanofi-Aventis Canada Inc. and Schering Corp. and Sanofi-Aventis Deutschland GmbH v. Apotex/Novopharm Limited</w:t>
      </w:r>
    </w:p>
    <w:p w14:paraId="2C91BC0E" w14:textId="77777777" w:rsidR="00DC296B" w:rsidRDefault="00AC362E">
      <w:pPr>
        <w:spacing w:after="10"/>
      </w:pPr>
      <w:r>
        <w:rPr>
          <w:i/>
          <w:iCs/>
          <w:sz w:val="22"/>
          <w:szCs w:val="22"/>
        </w:rPr>
        <w:lastRenderedPageBreak/>
        <w:t>Federal Court (Canada) (Court File No. T-161-07)</w:t>
      </w:r>
    </w:p>
    <w:p w14:paraId="6DE82812" w14:textId="77777777" w:rsidR="00DC296B" w:rsidRDefault="00AC362E">
      <w:pPr>
        <w:spacing w:after="10"/>
      </w:pPr>
      <w:r>
        <w:rPr>
          <w:sz w:val="22"/>
          <w:szCs w:val="22"/>
          <w:u w:val="single"/>
        </w:rPr>
        <w:t xml:space="preserve">Patent Infringement: </w:t>
      </w:r>
      <w:r>
        <w:rPr>
          <w:sz w:val="22"/>
          <w:szCs w:val="22"/>
        </w:rPr>
        <w:t>Analysis of damages issues in a case involving launch of generic competition prior to the resolution of a patent infringement case between the branded and generic drug companies.</w:t>
      </w:r>
    </w:p>
    <w:p w14:paraId="7E562336" w14:textId="77777777" w:rsidR="00DC296B" w:rsidRDefault="00AC362E">
      <w:pPr>
        <w:spacing w:before="140" w:after="10"/>
      </w:pPr>
      <w:r>
        <w:rPr>
          <w:b/>
          <w:bCs/>
          <w:i/>
          <w:iCs/>
          <w:sz w:val="22"/>
          <w:szCs w:val="22"/>
        </w:rPr>
        <w:t>Rambus, Inc. v. Micron Technology, Inc., et al.</w:t>
      </w:r>
    </w:p>
    <w:p w14:paraId="4991C561" w14:textId="77777777" w:rsidR="00DC296B" w:rsidRDefault="00AC362E">
      <w:pPr>
        <w:spacing w:after="10"/>
      </w:pPr>
      <w:r>
        <w:rPr>
          <w:i/>
          <w:iCs/>
          <w:sz w:val="22"/>
          <w:szCs w:val="22"/>
        </w:rPr>
        <w:t>Superior Court of the State of California, County of San Francisco (Case No. 04-431105)</w:t>
      </w:r>
    </w:p>
    <w:p w14:paraId="784DF054" w14:textId="77777777" w:rsidR="00DC296B" w:rsidRDefault="00AC362E">
      <w:pPr>
        <w:spacing w:after="10"/>
      </w:pPr>
      <w:r>
        <w:rPr>
          <w:sz w:val="22"/>
          <w:szCs w:val="22"/>
          <w:u w:val="single"/>
        </w:rPr>
        <w:t xml:space="preserve">Antitrust: </w:t>
      </w:r>
      <w:r>
        <w:rPr>
          <w:sz w:val="22"/>
          <w:szCs w:val="22"/>
        </w:rPr>
        <w:t>Analysis of damages issues in a case involving allegations of a conspiracy to impair the adoption of plaintiff's semiconductor technology.</w:t>
      </w:r>
    </w:p>
    <w:p w14:paraId="6109BB67" w14:textId="77777777" w:rsidR="00DC296B" w:rsidRDefault="00AC362E">
      <w:pPr>
        <w:spacing w:before="140" w:after="10"/>
      </w:pPr>
      <w:r>
        <w:rPr>
          <w:b/>
          <w:bCs/>
          <w:i/>
          <w:iCs/>
          <w:sz w:val="22"/>
          <w:szCs w:val="22"/>
        </w:rPr>
        <w:t>Samsung Electronics Co., Ltd., et al. v. ON Semiconductor Corp., et al.</w:t>
      </w:r>
    </w:p>
    <w:p w14:paraId="4D67460B" w14:textId="77777777" w:rsidR="00DC296B" w:rsidRDefault="00AC362E">
      <w:pPr>
        <w:spacing w:after="10"/>
      </w:pPr>
      <w:r>
        <w:rPr>
          <w:i/>
          <w:iCs/>
          <w:sz w:val="22"/>
          <w:szCs w:val="22"/>
        </w:rPr>
        <w:t>U.S. District Court, Delaware (Civil Action No. 06-072 (JJF))</w:t>
      </w:r>
    </w:p>
    <w:p w14:paraId="0DF6F5DB" w14:textId="77777777" w:rsidR="00DC296B" w:rsidRDefault="00AC362E">
      <w:pPr>
        <w:spacing w:after="10"/>
      </w:pPr>
      <w:r>
        <w:rPr>
          <w:sz w:val="22"/>
          <w:szCs w:val="22"/>
          <w:u w:val="single"/>
        </w:rPr>
        <w:t xml:space="preserve">Patent Infringement: </w:t>
      </w:r>
      <w:r>
        <w:rPr>
          <w:sz w:val="22"/>
          <w:szCs w:val="22"/>
        </w:rPr>
        <w:t>Analysis of reasonable royalty damages in a case involving both process and device patents used in the manufacture of semiconductors.</w:t>
      </w:r>
    </w:p>
    <w:p w14:paraId="56428E93" w14:textId="77777777" w:rsidR="00DC296B" w:rsidRDefault="00AC362E">
      <w:pPr>
        <w:spacing w:before="140" w:after="10"/>
      </w:pPr>
      <w:r>
        <w:rPr>
          <w:b/>
          <w:bCs/>
          <w:i/>
          <w:iCs/>
          <w:sz w:val="22"/>
          <w:szCs w:val="22"/>
        </w:rPr>
        <w:t>S.C. Johnson &amp; Son, Inc., et al. v. The Dial Corporation</w:t>
      </w:r>
    </w:p>
    <w:p w14:paraId="52648A33" w14:textId="77777777" w:rsidR="00DC296B" w:rsidRDefault="00AC362E">
      <w:pPr>
        <w:spacing w:after="10"/>
      </w:pPr>
      <w:r>
        <w:rPr>
          <w:i/>
          <w:iCs/>
          <w:sz w:val="22"/>
          <w:szCs w:val="22"/>
        </w:rPr>
        <w:t>U.S. District Court, Western District of Wisconsin (Case No. 3:07-cv-00689-bbc)</w:t>
      </w:r>
    </w:p>
    <w:p w14:paraId="76169679" w14:textId="77777777" w:rsidR="00DC296B" w:rsidRDefault="00AC362E">
      <w:pPr>
        <w:spacing w:after="10"/>
      </w:pPr>
      <w:r>
        <w:rPr>
          <w:sz w:val="22"/>
          <w:szCs w:val="22"/>
          <w:u w:val="single"/>
        </w:rPr>
        <w:t xml:space="preserve">Patent Infringement: </w:t>
      </w:r>
      <w:r>
        <w:rPr>
          <w:sz w:val="22"/>
          <w:szCs w:val="22"/>
        </w:rPr>
        <w:t>Analysis of reasonable royalty damages in a case involving technology used in multi-scent air fresheners.</w:t>
      </w:r>
    </w:p>
    <w:p w14:paraId="5B9798E4" w14:textId="77777777" w:rsidR="00DC296B" w:rsidRDefault="00AC362E">
      <w:pPr>
        <w:spacing w:before="140" w:after="10"/>
      </w:pPr>
      <w:r>
        <w:rPr>
          <w:b/>
          <w:bCs/>
          <w:i/>
          <w:iCs/>
          <w:sz w:val="22"/>
          <w:szCs w:val="22"/>
        </w:rPr>
        <w:t>Sundry, Inc. v. XWave New England Corp.</w:t>
      </w:r>
    </w:p>
    <w:p w14:paraId="61D14342" w14:textId="77777777" w:rsidR="00DC296B" w:rsidRDefault="00AC362E">
      <w:pPr>
        <w:spacing w:after="10"/>
      </w:pPr>
      <w:r>
        <w:rPr>
          <w:i/>
          <w:iCs/>
          <w:sz w:val="22"/>
          <w:szCs w:val="22"/>
        </w:rPr>
        <w:t>United States District Court, Eastern District of Virginia (Civil Case No. 1:07cv988 (LMB/TCB))</w:t>
      </w:r>
    </w:p>
    <w:p w14:paraId="340E326A" w14:textId="77777777" w:rsidR="00DC296B" w:rsidRDefault="00AC362E">
      <w:pPr>
        <w:spacing w:after="10"/>
      </w:pPr>
      <w:r>
        <w:rPr>
          <w:sz w:val="22"/>
          <w:szCs w:val="22"/>
          <w:u w:val="single"/>
        </w:rPr>
        <w:t xml:space="preserve">Trade Secret: </w:t>
      </w:r>
      <w:r>
        <w:rPr>
          <w:sz w:val="22"/>
          <w:szCs w:val="22"/>
        </w:rPr>
        <w:t>Analysis of damages claims in a case involving alleged misappropriation of trade secrets pertaining to offender management systems.</w:t>
      </w:r>
    </w:p>
    <w:p w14:paraId="1FB0D484" w14:textId="77777777" w:rsidR="00DC296B" w:rsidRDefault="00AC362E">
      <w:pPr>
        <w:spacing w:before="140" w:after="10"/>
      </w:pPr>
      <w:r>
        <w:rPr>
          <w:b/>
          <w:bCs/>
          <w:i/>
          <w:iCs/>
          <w:sz w:val="22"/>
          <w:szCs w:val="22"/>
        </w:rPr>
        <w:t>Non-Participating Manufacturer (NPM) Adjustment Proceeding Under the Tobacco Master Settlement Agreement Between the Settling States and the Participating Manufacturers</w:t>
      </w:r>
    </w:p>
    <w:p w14:paraId="5DD594C8" w14:textId="77777777" w:rsidR="00DC296B" w:rsidRDefault="00AC362E">
      <w:pPr>
        <w:spacing w:after="10"/>
      </w:pPr>
      <w:r>
        <w:rPr>
          <w:i/>
          <w:iCs/>
          <w:sz w:val="22"/>
          <w:szCs w:val="22"/>
        </w:rPr>
        <w:t>Arbitration Proceeding Before Professor Daniel McFadden and the Brattle Group</w:t>
      </w:r>
    </w:p>
    <w:p w14:paraId="65B9ABC6" w14:textId="77777777" w:rsidR="00DC296B" w:rsidRDefault="00AC362E">
      <w:pPr>
        <w:spacing w:after="10"/>
      </w:pPr>
      <w:r>
        <w:rPr>
          <w:sz w:val="22"/>
          <w:szCs w:val="22"/>
          <w:u w:val="single"/>
        </w:rPr>
        <w:t xml:space="preserve">Contract Analysis: </w:t>
      </w:r>
      <w:r>
        <w:rPr>
          <w:sz w:val="22"/>
          <w:szCs w:val="22"/>
        </w:rPr>
        <w:t>Analysis of whether the disadvantages of the 1998 Master Settlement Agreement were a significant factor contributing to the market share loss of the Participating Manufacturers in 2005.</w:t>
      </w:r>
    </w:p>
    <w:p w14:paraId="1EFFB315" w14:textId="77777777" w:rsidR="00DC296B" w:rsidRDefault="00AC362E">
      <w:pPr>
        <w:spacing w:before="140" w:after="10"/>
      </w:pPr>
      <w:r>
        <w:rPr>
          <w:b/>
          <w:bCs/>
          <w:i/>
          <w:iCs/>
          <w:sz w:val="22"/>
          <w:szCs w:val="22"/>
        </w:rPr>
        <w:t>IMTEC Imaging LLC v. CyberMed, Inc.</w:t>
      </w:r>
    </w:p>
    <w:p w14:paraId="5285F289" w14:textId="77777777" w:rsidR="00DC296B" w:rsidRDefault="00AC362E">
      <w:pPr>
        <w:spacing w:after="10"/>
      </w:pPr>
      <w:r>
        <w:rPr>
          <w:i/>
          <w:iCs/>
          <w:sz w:val="22"/>
          <w:szCs w:val="22"/>
        </w:rPr>
        <w:t>JAMS Arbitration (Reference No. 1410005418)</w:t>
      </w:r>
    </w:p>
    <w:p w14:paraId="77B65DAA" w14:textId="77777777" w:rsidR="00DC296B" w:rsidRDefault="00AC362E">
      <w:pPr>
        <w:spacing w:after="10"/>
      </w:pPr>
      <w:r>
        <w:rPr>
          <w:sz w:val="22"/>
          <w:szCs w:val="22"/>
          <w:u w:val="single"/>
        </w:rPr>
        <w:t xml:space="preserve">Breach of Contract: </w:t>
      </w:r>
      <w:r>
        <w:rPr>
          <w:sz w:val="22"/>
          <w:szCs w:val="22"/>
        </w:rPr>
        <w:t>Analysis of damages (lost profits and development cost compensation) for arbitration concerning a software license agreement directed to cone beam computed tomography machines used in dental applications.</w:t>
      </w:r>
    </w:p>
    <w:p w14:paraId="2A34322E" w14:textId="77777777" w:rsidR="00DC296B" w:rsidRDefault="00AC362E">
      <w:pPr>
        <w:spacing w:before="140" w:after="10"/>
      </w:pPr>
      <w:r>
        <w:rPr>
          <w:b/>
          <w:bCs/>
          <w:i/>
          <w:iCs/>
          <w:sz w:val="22"/>
          <w:szCs w:val="22"/>
        </w:rPr>
        <w:t>Geomatrix, LLC and David A. Potts v. Infiltration Systems, Inc.</w:t>
      </w:r>
    </w:p>
    <w:p w14:paraId="2F75C616" w14:textId="77777777" w:rsidR="00DC296B" w:rsidRDefault="00AC362E">
      <w:pPr>
        <w:spacing w:after="10"/>
      </w:pPr>
      <w:r>
        <w:rPr>
          <w:i/>
          <w:iCs/>
          <w:sz w:val="22"/>
          <w:szCs w:val="22"/>
        </w:rPr>
        <w:t>Connecticut Superior Court, District of Middlesex at Middleton (Case No. MMX-CV-05-4004477 S)</w:t>
      </w:r>
    </w:p>
    <w:p w14:paraId="543CF662" w14:textId="77777777" w:rsidR="00DC296B" w:rsidRDefault="00AC362E">
      <w:pPr>
        <w:spacing w:after="10"/>
      </w:pPr>
      <w:r>
        <w:rPr>
          <w:sz w:val="22"/>
          <w:szCs w:val="22"/>
          <w:u w:val="single"/>
        </w:rPr>
        <w:t xml:space="preserve">Trade Secret: </w:t>
      </w:r>
      <w:r>
        <w:rPr>
          <w:sz w:val="22"/>
          <w:szCs w:val="22"/>
        </w:rPr>
        <w:t>Analysis of damages claims in a case involving the alleged misappropriation of trade secrets directed to leach field and septic tank technology.</w:t>
      </w:r>
    </w:p>
    <w:p w14:paraId="41C4F6E0" w14:textId="77777777" w:rsidR="00DC296B" w:rsidRDefault="00AC362E">
      <w:pPr>
        <w:spacing w:before="140" w:after="10"/>
      </w:pPr>
      <w:r>
        <w:rPr>
          <w:b/>
          <w:bCs/>
          <w:i/>
          <w:iCs/>
          <w:sz w:val="22"/>
          <w:szCs w:val="22"/>
        </w:rPr>
        <w:t>Biosynexus, Inc. v. Glaxo Group Limited and MedImmune, Inc.</w:t>
      </w:r>
    </w:p>
    <w:p w14:paraId="3C3FD115" w14:textId="77777777" w:rsidR="00DC296B" w:rsidRDefault="00AC362E">
      <w:pPr>
        <w:spacing w:after="10"/>
      </w:pPr>
      <w:r>
        <w:rPr>
          <w:i/>
          <w:iCs/>
          <w:sz w:val="22"/>
          <w:szCs w:val="22"/>
        </w:rPr>
        <w:t>New York Supreme Court, County of New York (Case No. 604485/05)</w:t>
      </w:r>
    </w:p>
    <w:p w14:paraId="7744E712" w14:textId="77777777" w:rsidR="00DC296B" w:rsidRDefault="00AC362E">
      <w:pPr>
        <w:spacing w:after="10"/>
      </w:pPr>
      <w:r>
        <w:rPr>
          <w:sz w:val="22"/>
          <w:szCs w:val="22"/>
          <w:u w:val="single"/>
        </w:rPr>
        <w:t xml:space="preserve">Tort: </w:t>
      </w:r>
      <w:r>
        <w:rPr>
          <w:sz w:val="22"/>
          <w:szCs w:val="22"/>
        </w:rPr>
        <w:t>Damages analysis in a litigation concerning the diminution of value associated with the delayed/failed development of a pediatric anti-infective drug.</w:t>
      </w:r>
    </w:p>
    <w:p w14:paraId="29619294" w14:textId="77777777" w:rsidR="00DC296B" w:rsidRDefault="00AC362E">
      <w:pPr>
        <w:spacing w:before="140" w:after="10"/>
      </w:pPr>
      <w:r>
        <w:rPr>
          <w:b/>
          <w:bCs/>
          <w:i/>
          <w:iCs/>
          <w:sz w:val="22"/>
          <w:szCs w:val="22"/>
        </w:rPr>
        <w:t>MercExchange, L.L.C. v. eBay, Inc. and Half.com, Inc.</w:t>
      </w:r>
    </w:p>
    <w:p w14:paraId="1F41071E" w14:textId="77777777" w:rsidR="00DC296B" w:rsidRDefault="00AC362E">
      <w:pPr>
        <w:spacing w:after="10"/>
      </w:pPr>
      <w:r>
        <w:rPr>
          <w:i/>
          <w:iCs/>
          <w:sz w:val="22"/>
          <w:szCs w:val="22"/>
        </w:rPr>
        <w:t>United States District Court, Eastern District of Virginia, Norfolk Division (Civil Action No. 2:01cv736)</w:t>
      </w:r>
    </w:p>
    <w:p w14:paraId="1CBACB17" w14:textId="77777777" w:rsidR="00DC296B" w:rsidRDefault="00AC362E">
      <w:pPr>
        <w:spacing w:after="10"/>
      </w:pPr>
      <w:r>
        <w:rPr>
          <w:sz w:val="22"/>
          <w:szCs w:val="22"/>
          <w:u w:val="single"/>
        </w:rPr>
        <w:t xml:space="preserve">Post-Trial Issues: </w:t>
      </w:r>
      <w:r>
        <w:rPr>
          <w:sz w:val="22"/>
          <w:szCs w:val="22"/>
        </w:rPr>
        <w:t>Analysis of the appropriateness of issuing a permanent injunction in a patent case involving online auction technology in which liability had already been found.</w:t>
      </w:r>
    </w:p>
    <w:p w14:paraId="450DE5E1" w14:textId="77777777" w:rsidR="00DC296B" w:rsidRDefault="00AC362E">
      <w:pPr>
        <w:spacing w:before="140" w:after="10"/>
      </w:pPr>
      <w:r>
        <w:rPr>
          <w:b/>
          <w:bCs/>
          <w:i/>
          <w:iCs/>
          <w:sz w:val="22"/>
          <w:szCs w:val="22"/>
        </w:rPr>
        <w:t>Applera Corporation v. Stratagene Corporation</w:t>
      </w:r>
    </w:p>
    <w:p w14:paraId="4138CF3E" w14:textId="77777777" w:rsidR="00DC296B" w:rsidRDefault="00AC362E">
      <w:pPr>
        <w:spacing w:after="10"/>
      </w:pPr>
      <w:r>
        <w:rPr>
          <w:i/>
          <w:iCs/>
          <w:sz w:val="22"/>
          <w:szCs w:val="22"/>
        </w:rPr>
        <w:t>United States District Court, District of Connecticut (Civil Action No. 3-04-cv-01881 (RNC))</w:t>
      </w:r>
    </w:p>
    <w:p w14:paraId="3B734395" w14:textId="77777777" w:rsidR="00DC296B" w:rsidRDefault="00AC362E">
      <w:pPr>
        <w:spacing w:after="10"/>
      </w:pPr>
      <w:r>
        <w:rPr>
          <w:sz w:val="22"/>
          <w:szCs w:val="22"/>
          <w:u w:val="single"/>
        </w:rPr>
        <w:t xml:space="preserve">Patent Infringement: </w:t>
      </w:r>
      <w:r>
        <w:rPr>
          <w:sz w:val="22"/>
          <w:szCs w:val="22"/>
        </w:rPr>
        <w:t>Analysis of reasonable royalty and lost profits damages associated with the infringement of a patent allowing for simultaneous amplification and detection of nucleic acid using polymerase chain reaction techniques (i.e., real-time PCR technology).</w:t>
      </w:r>
    </w:p>
    <w:p w14:paraId="4FF47E99" w14:textId="77777777" w:rsidR="00DC296B" w:rsidRDefault="00AC362E">
      <w:pPr>
        <w:spacing w:before="140" w:after="10"/>
      </w:pPr>
      <w:r>
        <w:rPr>
          <w:b/>
          <w:bCs/>
          <w:i/>
          <w:iCs/>
          <w:sz w:val="22"/>
          <w:szCs w:val="22"/>
        </w:rPr>
        <w:t>Bavarian Nordic A/S and Anton Mayr v. Acambis, Inc.</w:t>
      </w:r>
    </w:p>
    <w:p w14:paraId="71A99AC1" w14:textId="77777777" w:rsidR="00DC296B" w:rsidRDefault="00AC362E">
      <w:pPr>
        <w:spacing w:after="10"/>
      </w:pPr>
      <w:r>
        <w:rPr>
          <w:i/>
          <w:iCs/>
          <w:sz w:val="22"/>
          <w:szCs w:val="22"/>
        </w:rPr>
        <w:lastRenderedPageBreak/>
        <w:t>United States District Court, District of Delaware (Case No. 05-614-SLR)</w:t>
      </w:r>
    </w:p>
    <w:p w14:paraId="12A2E2E4" w14:textId="77777777" w:rsidR="00DC296B" w:rsidRDefault="00AC362E">
      <w:pPr>
        <w:spacing w:after="10"/>
      </w:pPr>
      <w:r>
        <w:rPr>
          <w:sz w:val="22"/>
          <w:szCs w:val="22"/>
          <w:u w:val="single"/>
        </w:rPr>
        <w:t xml:space="preserve">Tort: </w:t>
      </w:r>
      <w:r>
        <w:rPr>
          <w:sz w:val="22"/>
          <w:szCs w:val="22"/>
        </w:rPr>
        <w:t>Damages analysis in a litigation concerning claims of unjust enrichment and value of property associated with tortious conversion, unfair trade practices, and unfair competition involving proprietary technology directed to vaccines.</w:t>
      </w:r>
    </w:p>
    <w:p w14:paraId="0DE6F336" w14:textId="77777777" w:rsidR="00DC296B" w:rsidRDefault="00AC362E">
      <w:pPr>
        <w:spacing w:before="140" w:after="10"/>
      </w:pPr>
      <w:r>
        <w:rPr>
          <w:b/>
          <w:bCs/>
          <w:i/>
          <w:iCs/>
          <w:sz w:val="22"/>
          <w:szCs w:val="22"/>
        </w:rPr>
        <w:t>Alpha International, Inc. v. General Foam Plastics Corp.</w:t>
      </w:r>
    </w:p>
    <w:p w14:paraId="700D22CD" w14:textId="77777777" w:rsidR="00DC296B" w:rsidRDefault="00AC362E">
      <w:pPr>
        <w:spacing w:after="10"/>
      </w:pPr>
      <w:r>
        <w:rPr>
          <w:i/>
          <w:iCs/>
          <w:sz w:val="22"/>
          <w:szCs w:val="22"/>
        </w:rPr>
        <w:t>United States District Court, Eastern District of North Carolina (Civil Action No. 4:01-CV-142-H(3))</w:t>
      </w:r>
    </w:p>
    <w:p w14:paraId="42FCF78D" w14:textId="77777777" w:rsidR="00DC296B" w:rsidRDefault="00AC362E">
      <w:pPr>
        <w:spacing w:after="10"/>
      </w:pPr>
      <w:r>
        <w:rPr>
          <w:sz w:val="22"/>
          <w:szCs w:val="22"/>
          <w:u w:val="single"/>
        </w:rPr>
        <w:t xml:space="preserve">Copyright and Trademark Infringement: </w:t>
      </w:r>
      <w:r>
        <w:rPr>
          <w:sz w:val="22"/>
          <w:szCs w:val="22"/>
        </w:rPr>
        <w:t>Damages analysis in a litigation concerning claims of copyright infringement, trademark infringement, conversion, and unjust enrichment involving the manufacture and sale of plastic toys.</w:t>
      </w:r>
    </w:p>
    <w:p w14:paraId="7DB1B768" w14:textId="77777777" w:rsidR="00DC296B" w:rsidRDefault="00AC362E">
      <w:pPr>
        <w:spacing w:before="140" w:after="10"/>
      </w:pPr>
      <w:r>
        <w:rPr>
          <w:b/>
          <w:bCs/>
          <w:i/>
          <w:iCs/>
          <w:sz w:val="22"/>
          <w:szCs w:val="22"/>
        </w:rPr>
        <w:t>Target Technology Co., LLC v. Williams Advanced Materials, Inc., et al.</w:t>
      </w:r>
    </w:p>
    <w:p w14:paraId="25D61329" w14:textId="77777777" w:rsidR="00DC296B" w:rsidRDefault="00AC362E">
      <w:pPr>
        <w:spacing w:after="10"/>
      </w:pPr>
      <w:r>
        <w:rPr>
          <w:i/>
          <w:iCs/>
          <w:sz w:val="22"/>
          <w:szCs w:val="22"/>
        </w:rPr>
        <w:t>United States District Court, Central District of California (Case No. SACV04-1083 DOC (MLGx))</w:t>
      </w:r>
    </w:p>
    <w:p w14:paraId="20A9C178" w14:textId="77777777" w:rsidR="00DC296B" w:rsidRDefault="00AC362E">
      <w:pPr>
        <w:spacing w:after="10"/>
      </w:pPr>
      <w:r>
        <w:rPr>
          <w:sz w:val="22"/>
          <w:szCs w:val="22"/>
          <w:u w:val="single"/>
        </w:rPr>
        <w:t xml:space="preserve">Patent Infringement: </w:t>
      </w:r>
      <w:r>
        <w:rPr>
          <w:sz w:val="22"/>
          <w:szCs w:val="22"/>
        </w:rPr>
        <w:t>Analysis of reasonable royalty and design-around alternatives in a case involving a patent directed to silver alloy sputtering targets for DVDs.</w:t>
      </w:r>
    </w:p>
    <w:p w14:paraId="2B6FED90" w14:textId="77777777" w:rsidR="00DC296B" w:rsidRDefault="00AC362E">
      <w:pPr>
        <w:spacing w:before="140" w:after="10"/>
      </w:pPr>
      <w:r>
        <w:rPr>
          <w:b/>
          <w:bCs/>
          <w:i/>
          <w:iCs/>
          <w:sz w:val="22"/>
          <w:szCs w:val="22"/>
        </w:rPr>
        <w:t>Bavarian Nordic A/S v. Acambis, PLC</w:t>
      </w:r>
    </w:p>
    <w:p w14:paraId="7FF98666" w14:textId="77777777" w:rsidR="00DC296B" w:rsidRDefault="00AC362E">
      <w:pPr>
        <w:spacing w:after="10"/>
      </w:pPr>
      <w:r>
        <w:rPr>
          <w:i/>
          <w:iCs/>
          <w:sz w:val="22"/>
          <w:szCs w:val="22"/>
        </w:rPr>
        <w:t>United States International Trade Commission (Case No. 337-TA-550)</w:t>
      </w:r>
    </w:p>
    <w:p w14:paraId="22A5F623" w14:textId="77777777" w:rsidR="00DC296B" w:rsidRDefault="00AC362E">
      <w:pPr>
        <w:spacing w:after="10"/>
      </w:pPr>
      <w:r>
        <w:rPr>
          <w:sz w:val="22"/>
          <w:szCs w:val="22"/>
          <w:u w:val="single"/>
        </w:rPr>
        <w:t xml:space="preserve">International Trade: </w:t>
      </w:r>
      <w:r>
        <w:rPr>
          <w:sz w:val="22"/>
          <w:szCs w:val="22"/>
        </w:rPr>
        <w:t>Economic analysis in a proceeding concerning domestic industry definition and injury involving patents and proprietary technology directed to vaccines.</w:t>
      </w:r>
    </w:p>
    <w:p w14:paraId="53E05296" w14:textId="77777777" w:rsidR="00DC296B" w:rsidRDefault="00AC362E">
      <w:pPr>
        <w:spacing w:before="140" w:after="10"/>
      </w:pPr>
      <w:r>
        <w:rPr>
          <w:b/>
          <w:bCs/>
          <w:i/>
          <w:iCs/>
          <w:sz w:val="22"/>
          <w:szCs w:val="22"/>
        </w:rPr>
        <w:t>Indiana Mills &amp; Manufacturing, Inc. v. Dorel Industries, Inc.</w:t>
      </w:r>
    </w:p>
    <w:p w14:paraId="5FCD3555" w14:textId="77777777" w:rsidR="00DC296B" w:rsidRDefault="00AC362E">
      <w:pPr>
        <w:spacing w:after="10"/>
      </w:pPr>
      <w:r>
        <w:rPr>
          <w:i/>
          <w:iCs/>
          <w:sz w:val="22"/>
          <w:szCs w:val="22"/>
        </w:rPr>
        <w:t>United States District Court, Southern District of Indiana (Case No. 1:04-CV-1102)</w:t>
      </w:r>
    </w:p>
    <w:p w14:paraId="5E83ECD9" w14:textId="77777777" w:rsidR="00DC296B" w:rsidRDefault="00AC362E">
      <w:pPr>
        <w:spacing w:after="10"/>
      </w:pPr>
      <w:r>
        <w:rPr>
          <w:sz w:val="22"/>
          <w:szCs w:val="22"/>
          <w:u w:val="single"/>
        </w:rPr>
        <w:t xml:space="preserve">Breach of Contract and Patent Infringement: </w:t>
      </w:r>
      <w:r>
        <w:rPr>
          <w:sz w:val="22"/>
          <w:szCs w:val="22"/>
        </w:rPr>
        <w:t>Analysis of damages and lost profits associated with alleged contract breach and patent infringement involving technology directed to automobile child restraint systems.</w:t>
      </w:r>
    </w:p>
    <w:p w14:paraId="06221B0D" w14:textId="77777777" w:rsidR="00DC296B" w:rsidRDefault="00AC362E">
      <w:pPr>
        <w:spacing w:before="140" w:after="10"/>
      </w:pPr>
      <w:r>
        <w:rPr>
          <w:b/>
          <w:bCs/>
          <w:i/>
          <w:iCs/>
          <w:sz w:val="22"/>
          <w:szCs w:val="22"/>
        </w:rPr>
        <w:t>Glaxo Group Ltd., et al. v. Kali Laboratories, Inc.</w:t>
      </w:r>
    </w:p>
    <w:p w14:paraId="65746982" w14:textId="77777777" w:rsidR="00DC296B" w:rsidRDefault="00AC362E">
      <w:pPr>
        <w:spacing w:after="10"/>
      </w:pPr>
      <w:r>
        <w:rPr>
          <w:i/>
          <w:iCs/>
          <w:sz w:val="22"/>
          <w:szCs w:val="22"/>
        </w:rPr>
        <w:t>United States District Court, District of New Jersey (Civil Action No. 03-399)</w:t>
      </w:r>
    </w:p>
    <w:p w14:paraId="3E008B60" w14:textId="77777777" w:rsidR="00DC296B" w:rsidRDefault="00AC362E">
      <w:pPr>
        <w:spacing w:after="10"/>
      </w:pPr>
      <w:r>
        <w:rPr>
          <w:sz w:val="22"/>
          <w:szCs w:val="22"/>
          <w:u w:val="single"/>
        </w:rPr>
        <w:t xml:space="preserve">Post-Trial Issues: </w:t>
      </w:r>
      <w:r>
        <w:rPr>
          <w:sz w:val="22"/>
          <w:szCs w:val="22"/>
        </w:rPr>
        <w:t>Analysis concerning the appropriate size for a bond to be posted at the time of issuance of a preliminary injunction.</w:t>
      </w:r>
    </w:p>
    <w:p w14:paraId="35EFB1F9" w14:textId="77777777" w:rsidR="00DC296B" w:rsidRDefault="00AC362E">
      <w:pPr>
        <w:spacing w:before="140" w:after="10"/>
      </w:pPr>
      <w:r>
        <w:rPr>
          <w:b/>
          <w:bCs/>
          <w:i/>
          <w:iCs/>
          <w:sz w:val="22"/>
          <w:szCs w:val="22"/>
        </w:rPr>
        <w:t>WEDECO UV Technologies, Inc. v. Calgon Carbon Corporation</w:t>
      </w:r>
    </w:p>
    <w:p w14:paraId="478B7DF7" w14:textId="77777777" w:rsidR="00DC296B" w:rsidRDefault="00AC362E">
      <w:pPr>
        <w:spacing w:after="10"/>
      </w:pPr>
      <w:r>
        <w:rPr>
          <w:i/>
          <w:iCs/>
          <w:sz w:val="22"/>
          <w:szCs w:val="22"/>
        </w:rPr>
        <w:t>United States District Court, District of New Jersey (Civil Action No. 01-924)</w:t>
      </w:r>
    </w:p>
    <w:p w14:paraId="4D6C44C5" w14:textId="77777777" w:rsidR="00DC296B" w:rsidRDefault="00AC362E">
      <w:pPr>
        <w:spacing w:after="10"/>
      </w:pPr>
      <w:r>
        <w:rPr>
          <w:sz w:val="22"/>
          <w:szCs w:val="22"/>
          <w:u w:val="single"/>
        </w:rPr>
        <w:t xml:space="preserve">Patent Infringement: </w:t>
      </w:r>
      <w:r>
        <w:rPr>
          <w:sz w:val="22"/>
          <w:szCs w:val="22"/>
        </w:rPr>
        <w:t>Analysis of lost profits, reasonable royalty, and prejudgment interest in a patent infringement case concerning a method patent used in the disinfection of potable water.</w:t>
      </w:r>
    </w:p>
    <w:p w14:paraId="4D9723D0" w14:textId="77777777" w:rsidR="00DC296B" w:rsidRDefault="00AC362E">
      <w:pPr>
        <w:spacing w:before="140" w:after="10"/>
      </w:pPr>
      <w:r>
        <w:rPr>
          <w:b/>
          <w:bCs/>
          <w:i/>
          <w:iCs/>
          <w:sz w:val="22"/>
          <w:szCs w:val="22"/>
        </w:rPr>
        <w:t>Gary J. Colassi v. Cybex International, Inc.</w:t>
      </w:r>
    </w:p>
    <w:p w14:paraId="3A45D222" w14:textId="77777777" w:rsidR="00DC296B" w:rsidRDefault="00AC362E">
      <w:pPr>
        <w:spacing w:after="10"/>
      </w:pPr>
      <w:r>
        <w:rPr>
          <w:i/>
          <w:iCs/>
          <w:sz w:val="22"/>
          <w:szCs w:val="22"/>
        </w:rPr>
        <w:t>United States District Court, District of Massachusetts (Case Nos. 02-668-JEL/JGL and 02-11909 RWZ)</w:t>
      </w:r>
    </w:p>
    <w:p w14:paraId="239B2796" w14:textId="77777777" w:rsidR="00DC296B" w:rsidRDefault="00AC362E">
      <w:pPr>
        <w:spacing w:after="10"/>
      </w:pPr>
      <w:r>
        <w:rPr>
          <w:sz w:val="22"/>
          <w:szCs w:val="22"/>
          <w:u w:val="single"/>
        </w:rPr>
        <w:t xml:space="preserve">Patent Infringement: </w:t>
      </w:r>
      <w:r>
        <w:rPr>
          <w:sz w:val="22"/>
          <w:szCs w:val="22"/>
        </w:rPr>
        <w:t>Determination of reasonable royalty damages in a litigation concerning a patent used in treadmill deck suspension systems.</w:t>
      </w:r>
    </w:p>
    <w:p w14:paraId="124A790A" w14:textId="77777777" w:rsidR="00DC296B" w:rsidRDefault="00AC362E">
      <w:pPr>
        <w:spacing w:before="140" w:after="10"/>
      </w:pPr>
      <w:r>
        <w:rPr>
          <w:b/>
          <w:bCs/>
          <w:i/>
          <w:iCs/>
          <w:sz w:val="22"/>
          <w:szCs w:val="22"/>
        </w:rPr>
        <w:t>Donner, Inc. v. American Honda Motor Co., Inc., et al.</w:t>
      </w:r>
    </w:p>
    <w:p w14:paraId="4E123C6A" w14:textId="77777777" w:rsidR="00DC296B" w:rsidRDefault="00AC362E">
      <w:pPr>
        <w:spacing w:after="10"/>
      </w:pPr>
      <w:r>
        <w:rPr>
          <w:i/>
          <w:iCs/>
          <w:sz w:val="22"/>
          <w:szCs w:val="22"/>
        </w:rPr>
        <w:t>United States District Court, Eastern District of Texas, Texarkana Division (Case No. F:03-CV-253)</w:t>
      </w:r>
    </w:p>
    <w:p w14:paraId="2CA488CC" w14:textId="77777777" w:rsidR="00DC296B" w:rsidRDefault="00AC362E">
      <w:pPr>
        <w:spacing w:after="10"/>
      </w:pPr>
      <w:r>
        <w:rPr>
          <w:sz w:val="22"/>
          <w:szCs w:val="22"/>
          <w:u w:val="single"/>
        </w:rPr>
        <w:t xml:space="preserve">Patent Infringement: </w:t>
      </w:r>
      <w:r>
        <w:rPr>
          <w:sz w:val="22"/>
          <w:szCs w:val="22"/>
        </w:rPr>
        <w:t>Determination of reasonable royalty damages in a litigation concerning a patent used in automobile entertainment systems.</w:t>
      </w:r>
    </w:p>
    <w:p w14:paraId="3F20CF3A" w14:textId="77777777" w:rsidR="00DC296B" w:rsidRDefault="00AC362E">
      <w:pPr>
        <w:spacing w:before="140" w:after="10"/>
      </w:pPr>
      <w:r>
        <w:rPr>
          <w:b/>
          <w:bCs/>
          <w:i/>
          <w:iCs/>
          <w:sz w:val="22"/>
          <w:szCs w:val="22"/>
        </w:rPr>
        <w:t>BizProLink, LLC v. AOL Time Warner, Inc. and America Online, Inc.</w:t>
      </w:r>
    </w:p>
    <w:p w14:paraId="68BACB18" w14:textId="77777777" w:rsidR="00DC296B" w:rsidRDefault="00AC362E">
      <w:pPr>
        <w:spacing w:after="10"/>
      </w:pPr>
      <w:r>
        <w:rPr>
          <w:i/>
          <w:iCs/>
          <w:sz w:val="22"/>
          <w:szCs w:val="22"/>
        </w:rPr>
        <w:t>United States District Court, Southern District of Florida (Civil Action No. 03-61903)</w:t>
      </w:r>
    </w:p>
    <w:p w14:paraId="610E4E8E" w14:textId="77777777" w:rsidR="00DC296B" w:rsidRDefault="00AC362E">
      <w:pPr>
        <w:spacing w:after="10"/>
      </w:pPr>
      <w:r>
        <w:rPr>
          <w:sz w:val="22"/>
          <w:szCs w:val="22"/>
          <w:u w:val="single"/>
        </w:rPr>
        <w:t xml:space="preserve">Breach of Contract: </w:t>
      </w:r>
      <w:r>
        <w:rPr>
          <w:sz w:val="22"/>
          <w:szCs w:val="22"/>
        </w:rPr>
        <w:t>Determination of breach of contract damages in a dispute concerning an alleged failure to perform in accordance with contractual obligations involving the provision of industry-tailored online content, technology, and business productivity tools.</w:t>
      </w:r>
    </w:p>
    <w:p w14:paraId="7CE87A92" w14:textId="77777777" w:rsidR="00DC296B" w:rsidRDefault="00AC362E">
      <w:pPr>
        <w:spacing w:before="140" w:after="10"/>
      </w:pPr>
      <w:r>
        <w:rPr>
          <w:b/>
          <w:bCs/>
          <w:i/>
          <w:iCs/>
          <w:sz w:val="22"/>
          <w:szCs w:val="22"/>
        </w:rPr>
        <w:t>Computer Associates International, Inc. v. Digex, Inc.</w:t>
      </w:r>
    </w:p>
    <w:p w14:paraId="7DB31CD6" w14:textId="77777777" w:rsidR="00DC296B" w:rsidRDefault="00AC362E">
      <w:pPr>
        <w:spacing w:after="10"/>
      </w:pPr>
      <w:r>
        <w:rPr>
          <w:i/>
          <w:iCs/>
          <w:sz w:val="22"/>
          <w:szCs w:val="22"/>
        </w:rPr>
        <w:t>Circuit Court For Prince George's County, Maryland (Civil Action No. CAL03-02253)</w:t>
      </w:r>
    </w:p>
    <w:p w14:paraId="5B6629DD" w14:textId="77777777" w:rsidR="00DC296B" w:rsidRDefault="00AC362E">
      <w:pPr>
        <w:spacing w:after="10"/>
      </w:pPr>
      <w:r>
        <w:rPr>
          <w:sz w:val="22"/>
          <w:szCs w:val="22"/>
          <w:u w:val="single"/>
        </w:rPr>
        <w:t xml:space="preserve">Breach of Contract: </w:t>
      </w:r>
      <w:r>
        <w:rPr>
          <w:sz w:val="22"/>
          <w:szCs w:val="22"/>
        </w:rPr>
        <w:t>Analysis of breach of contract damages in a dispute concerning an alleged failure to perform in accordance with contractual obligations involving the provision of professional services.</w:t>
      </w:r>
    </w:p>
    <w:p w14:paraId="7960E151" w14:textId="77777777" w:rsidR="00DC296B" w:rsidRDefault="00AC362E">
      <w:pPr>
        <w:spacing w:before="140" w:after="10"/>
      </w:pPr>
      <w:r>
        <w:rPr>
          <w:b/>
          <w:bCs/>
          <w:i/>
          <w:iCs/>
          <w:sz w:val="22"/>
          <w:szCs w:val="22"/>
        </w:rPr>
        <w:lastRenderedPageBreak/>
        <w:t>Ira Sanders, et al. v. The Mount Sinai School of Medicine, et al.</w:t>
      </w:r>
    </w:p>
    <w:p w14:paraId="14B0DF0F" w14:textId="77777777" w:rsidR="00DC296B" w:rsidRDefault="00AC362E">
      <w:pPr>
        <w:spacing w:after="10"/>
      </w:pPr>
      <w:r>
        <w:rPr>
          <w:i/>
          <w:iCs/>
          <w:sz w:val="22"/>
          <w:szCs w:val="22"/>
        </w:rPr>
        <w:t>United States District Court, Southern District of New York (Case No. 03 CV. 7937 (JGK))</w:t>
      </w:r>
    </w:p>
    <w:p w14:paraId="6069F506" w14:textId="77777777" w:rsidR="00DC296B" w:rsidRDefault="00AC362E">
      <w:pPr>
        <w:spacing w:after="10"/>
      </w:pPr>
      <w:r>
        <w:rPr>
          <w:sz w:val="22"/>
          <w:szCs w:val="22"/>
          <w:u w:val="single"/>
        </w:rPr>
        <w:t xml:space="preserve">Breach of Contract: </w:t>
      </w:r>
      <w:r>
        <w:rPr>
          <w:sz w:val="22"/>
          <w:szCs w:val="22"/>
        </w:rPr>
        <w:t>Determination of breach of contract damages in a case concerning an alleged failure to perform in accordance with contractual obligations relating to the licensing of patented indications of botulinum toxin.</w:t>
      </w:r>
    </w:p>
    <w:p w14:paraId="5BE9D852" w14:textId="77777777" w:rsidR="00DC296B" w:rsidRDefault="00AC362E">
      <w:pPr>
        <w:spacing w:before="140" w:after="10"/>
      </w:pPr>
      <w:r>
        <w:rPr>
          <w:b/>
          <w:bCs/>
          <w:i/>
          <w:iCs/>
          <w:sz w:val="22"/>
          <w:szCs w:val="22"/>
        </w:rPr>
        <w:t>Plasma Physics Corporation v. STMicroelectronics, Inc., et al.</w:t>
      </w:r>
    </w:p>
    <w:p w14:paraId="351CA645" w14:textId="77777777" w:rsidR="00DC296B" w:rsidRDefault="00AC362E">
      <w:pPr>
        <w:spacing w:after="10"/>
      </w:pPr>
      <w:r>
        <w:rPr>
          <w:i/>
          <w:iCs/>
          <w:sz w:val="22"/>
          <w:szCs w:val="22"/>
        </w:rPr>
        <w:t>United States District Court, Eastern District of New York (Case No. 02-3475 (LDW/WDW))</w:t>
      </w:r>
    </w:p>
    <w:p w14:paraId="27236ECC" w14:textId="77777777" w:rsidR="00DC296B" w:rsidRDefault="00AC362E">
      <w:pPr>
        <w:spacing w:after="10"/>
      </w:pPr>
      <w:r>
        <w:rPr>
          <w:sz w:val="22"/>
          <w:szCs w:val="22"/>
          <w:u w:val="single"/>
        </w:rPr>
        <w:t xml:space="preserve">Patent Infringement: </w:t>
      </w:r>
      <w:r>
        <w:rPr>
          <w:sz w:val="22"/>
          <w:szCs w:val="22"/>
        </w:rPr>
        <w:t>Determination of reasonable royalty damages in a case concerning patents used in semiconductor manufacturing.</w:t>
      </w:r>
    </w:p>
    <w:p w14:paraId="155E57C3" w14:textId="77777777" w:rsidR="00DC296B" w:rsidRDefault="00AC362E">
      <w:pPr>
        <w:spacing w:before="140" w:after="10"/>
      </w:pPr>
      <w:r>
        <w:rPr>
          <w:b/>
          <w:bCs/>
          <w:i/>
          <w:iCs/>
          <w:sz w:val="22"/>
          <w:szCs w:val="22"/>
        </w:rPr>
        <w:t>Plasma Physics Corporation v. National Semiconductor Corporation</w:t>
      </w:r>
    </w:p>
    <w:p w14:paraId="5F598A89" w14:textId="77777777" w:rsidR="00DC296B" w:rsidRDefault="00AC362E">
      <w:pPr>
        <w:spacing w:after="10"/>
      </w:pPr>
      <w:r>
        <w:rPr>
          <w:i/>
          <w:iCs/>
          <w:sz w:val="22"/>
          <w:szCs w:val="22"/>
        </w:rPr>
        <w:t>United States District Court, Eastern District of New York (Case No. 02-3459 (LDW/WDW))</w:t>
      </w:r>
    </w:p>
    <w:p w14:paraId="09249A8A" w14:textId="77777777" w:rsidR="00DC296B" w:rsidRDefault="00AC362E">
      <w:pPr>
        <w:spacing w:after="10"/>
      </w:pPr>
      <w:r>
        <w:rPr>
          <w:sz w:val="22"/>
          <w:szCs w:val="22"/>
          <w:u w:val="single"/>
        </w:rPr>
        <w:t xml:space="preserve">Patent Infringement: </w:t>
      </w:r>
      <w:r>
        <w:rPr>
          <w:sz w:val="22"/>
          <w:szCs w:val="22"/>
        </w:rPr>
        <w:t>Determination of reasonable royalty damages in a litigation concerning patents used in semiconductor manufacturing.</w:t>
      </w:r>
    </w:p>
    <w:p w14:paraId="5C4961C5" w14:textId="77777777" w:rsidR="00DC296B" w:rsidRDefault="00AC362E">
      <w:pPr>
        <w:spacing w:before="140" w:after="10"/>
      </w:pPr>
      <w:r>
        <w:rPr>
          <w:b/>
          <w:bCs/>
          <w:i/>
          <w:iCs/>
          <w:sz w:val="22"/>
          <w:szCs w:val="22"/>
        </w:rPr>
        <w:t>Matsushita Electric Industrial Co. Ltd. v. Cinram International, Inc.</w:t>
      </w:r>
    </w:p>
    <w:p w14:paraId="0638A0E8" w14:textId="77777777" w:rsidR="00DC296B" w:rsidRDefault="00AC362E">
      <w:pPr>
        <w:spacing w:after="10"/>
      </w:pPr>
      <w:r>
        <w:rPr>
          <w:i/>
          <w:iCs/>
          <w:sz w:val="22"/>
          <w:szCs w:val="22"/>
        </w:rPr>
        <w:t>United States District Court, District of Delaware (Case No. 01-882-SLR)</w:t>
      </w:r>
    </w:p>
    <w:p w14:paraId="45818BB2" w14:textId="77777777" w:rsidR="00DC296B" w:rsidRDefault="00AC362E">
      <w:pPr>
        <w:spacing w:after="10"/>
      </w:pPr>
      <w:r>
        <w:rPr>
          <w:sz w:val="22"/>
          <w:szCs w:val="22"/>
          <w:u w:val="single"/>
        </w:rPr>
        <w:t xml:space="preserve">Patent Infringement: </w:t>
      </w:r>
      <w:r>
        <w:rPr>
          <w:sz w:val="22"/>
          <w:szCs w:val="22"/>
        </w:rPr>
        <w:t>Analysis of reasonable royalty and prejudgment interest damages in a litigation concerning patents directed to aspects of bonding substrates together to form optical discs, such as DVDs.</w:t>
      </w:r>
    </w:p>
    <w:p w14:paraId="15D8F3F9" w14:textId="77777777" w:rsidR="00DC296B" w:rsidRDefault="00AC362E">
      <w:pPr>
        <w:spacing w:before="140" w:after="10"/>
      </w:pPr>
      <w:r>
        <w:rPr>
          <w:b/>
          <w:bCs/>
          <w:i/>
          <w:iCs/>
          <w:sz w:val="22"/>
          <w:szCs w:val="22"/>
        </w:rPr>
        <w:t>Reba Mansell, et al. v. Raytheon Co., et al.</w:t>
      </w:r>
    </w:p>
    <w:p w14:paraId="3F1455CC" w14:textId="77777777" w:rsidR="00DC296B" w:rsidRDefault="00AC362E">
      <w:pPr>
        <w:spacing w:after="10"/>
      </w:pPr>
      <w:r>
        <w:rPr>
          <w:i/>
          <w:iCs/>
          <w:sz w:val="22"/>
          <w:szCs w:val="22"/>
        </w:rPr>
        <w:t>United States District Court, Northern District of Texas - Dallas Division (Case No. 3-02CV-0425-M)</w:t>
      </w:r>
    </w:p>
    <w:p w14:paraId="0A2C51BF" w14:textId="77777777" w:rsidR="00DC296B" w:rsidRDefault="00AC362E">
      <w:pPr>
        <w:spacing w:after="10"/>
      </w:pPr>
      <w:r>
        <w:rPr>
          <w:sz w:val="22"/>
          <w:szCs w:val="22"/>
          <w:u w:val="single"/>
        </w:rPr>
        <w:t xml:space="preserve">Breach of Contract: </w:t>
      </w:r>
      <w:r>
        <w:rPr>
          <w:sz w:val="22"/>
          <w:szCs w:val="22"/>
        </w:rPr>
        <w:t>Determination of damages owed due to an alleged breach of contract in a dispute concerning automatic vehicle locator systems.</w:t>
      </w:r>
    </w:p>
    <w:p w14:paraId="6148CFAC" w14:textId="77777777" w:rsidR="00DC296B" w:rsidRDefault="00AC362E">
      <w:pPr>
        <w:spacing w:before="140" w:after="10"/>
      </w:pPr>
      <w:r>
        <w:rPr>
          <w:b/>
          <w:bCs/>
          <w:i/>
          <w:iCs/>
          <w:sz w:val="22"/>
          <w:szCs w:val="22"/>
        </w:rPr>
        <w:t>MuniAuction, Inc., et al. v. Thomson Corporation</w:t>
      </w:r>
    </w:p>
    <w:p w14:paraId="4153D7AB" w14:textId="77777777" w:rsidR="00DC296B" w:rsidRDefault="00AC362E">
      <w:pPr>
        <w:spacing w:after="10"/>
      </w:pPr>
      <w:r>
        <w:rPr>
          <w:i/>
          <w:iCs/>
          <w:sz w:val="22"/>
          <w:szCs w:val="22"/>
        </w:rPr>
        <w:t>United States District Court, Western District of Pennsylvania (Case No. 01-1003)</w:t>
      </w:r>
    </w:p>
    <w:p w14:paraId="4885A153" w14:textId="77777777" w:rsidR="00DC296B" w:rsidRDefault="00AC362E">
      <w:pPr>
        <w:spacing w:after="10"/>
      </w:pPr>
      <w:r>
        <w:rPr>
          <w:sz w:val="22"/>
          <w:szCs w:val="22"/>
          <w:u w:val="single"/>
        </w:rPr>
        <w:t xml:space="preserve">Patent Infringement: </w:t>
      </w:r>
      <w:r>
        <w:rPr>
          <w:sz w:val="22"/>
          <w:szCs w:val="22"/>
        </w:rPr>
        <w:t>Examination of claims made for lost profit, price erosion, and reasonable royalty damages in a litigation concerning a patent that enabled auctions to be conducted over electronic networks.</w:t>
      </w:r>
    </w:p>
    <w:p w14:paraId="498ABDB3" w14:textId="77777777" w:rsidR="00DC296B" w:rsidRDefault="00AC362E">
      <w:pPr>
        <w:spacing w:before="140" w:after="10"/>
      </w:pPr>
      <w:r>
        <w:rPr>
          <w:b/>
          <w:bCs/>
          <w:i/>
          <w:iCs/>
          <w:sz w:val="22"/>
          <w:szCs w:val="22"/>
        </w:rPr>
        <w:t>R2 Technology, Inc., et al. v. Intelligent Systems Software, Inc.</w:t>
      </w:r>
    </w:p>
    <w:p w14:paraId="6A9C5FFB" w14:textId="77777777" w:rsidR="00DC296B" w:rsidRDefault="00AC362E">
      <w:pPr>
        <w:spacing w:after="10"/>
      </w:pPr>
      <w:r>
        <w:rPr>
          <w:i/>
          <w:iCs/>
          <w:sz w:val="22"/>
          <w:szCs w:val="22"/>
        </w:rPr>
        <w:t>United States District Court, District of Delaware (Case No. 02-472-GMS)</w:t>
      </w:r>
    </w:p>
    <w:p w14:paraId="0C1B05DD" w14:textId="77777777" w:rsidR="00DC296B" w:rsidRDefault="00AC362E">
      <w:pPr>
        <w:spacing w:after="10"/>
      </w:pPr>
      <w:r>
        <w:rPr>
          <w:sz w:val="22"/>
          <w:szCs w:val="22"/>
          <w:u w:val="single"/>
        </w:rPr>
        <w:t xml:space="preserve">Patent Infringement: </w:t>
      </w:r>
      <w:r>
        <w:rPr>
          <w:sz w:val="22"/>
          <w:szCs w:val="22"/>
        </w:rPr>
        <w:t>Analysis of lost profit, price erosion, and reasonable royalty damages in a case concerning a patent used in computer aided diagnosis (CAD) mammography equipment.</w:t>
      </w:r>
    </w:p>
    <w:p w14:paraId="03BCB56C" w14:textId="77777777" w:rsidR="00DC296B" w:rsidRDefault="00AC362E">
      <w:pPr>
        <w:spacing w:before="140" w:after="10"/>
      </w:pPr>
      <w:r>
        <w:rPr>
          <w:b/>
          <w:bCs/>
          <w:i/>
          <w:iCs/>
          <w:sz w:val="22"/>
          <w:szCs w:val="22"/>
        </w:rPr>
        <w:t>Dresses for Less, Inc., et al. v. CIT Group/Commercial Services, Inc., et al.</w:t>
      </w:r>
    </w:p>
    <w:p w14:paraId="7988A44E" w14:textId="77777777" w:rsidR="00DC296B" w:rsidRDefault="00AC362E">
      <w:pPr>
        <w:spacing w:after="10"/>
      </w:pPr>
      <w:r>
        <w:rPr>
          <w:i/>
          <w:iCs/>
          <w:sz w:val="22"/>
          <w:szCs w:val="22"/>
        </w:rPr>
        <w:t>United States District Court, Southern District of New York (Case No. 01 Civ. 2669 (WHP))</w:t>
      </w:r>
    </w:p>
    <w:p w14:paraId="0A144DC2" w14:textId="77777777" w:rsidR="00DC296B" w:rsidRDefault="00AC362E">
      <w:pPr>
        <w:spacing w:after="10"/>
      </w:pPr>
      <w:r>
        <w:rPr>
          <w:sz w:val="22"/>
          <w:szCs w:val="22"/>
          <w:u w:val="single"/>
        </w:rPr>
        <w:t xml:space="preserve">Antitrust: </w:t>
      </w:r>
      <w:r>
        <w:rPr>
          <w:sz w:val="22"/>
          <w:szCs w:val="22"/>
        </w:rPr>
        <w:t>Examination of antitrust liability issues, including market definition, in an antitrust litigation involving the factoring industry.</w:t>
      </w:r>
    </w:p>
    <w:p w14:paraId="47F7C40C" w14:textId="77777777" w:rsidR="00DC296B" w:rsidRDefault="00AC362E">
      <w:pPr>
        <w:spacing w:before="140" w:after="10"/>
      </w:pPr>
      <w:r>
        <w:rPr>
          <w:b/>
          <w:bCs/>
          <w:i/>
          <w:iCs/>
          <w:sz w:val="22"/>
          <w:szCs w:val="22"/>
        </w:rPr>
        <w:t>In Re: Terazosin Hydrochloride Antitrust Litigation</w:t>
      </w:r>
    </w:p>
    <w:p w14:paraId="0728DF86" w14:textId="77777777" w:rsidR="00DC296B" w:rsidRDefault="00AC362E">
      <w:pPr>
        <w:spacing w:after="10"/>
      </w:pPr>
      <w:r>
        <w:rPr>
          <w:i/>
          <w:iCs/>
          <w:sz w:val="22"/>
          <w:szCs w:val="22"/>
        </w:rPr>
        <w:t>United States District Court, Southern District of Florida (Case No. 99-MDL-1317)</w:t>
      </w:r>
    </w:p>
    <w:p w14:paraId="4613BF04" w14:textId="77777777" w:rsidR="00DC296B" w:rsidRDefault="00AC362E">
      <w:pPr>
        <w:spacing w:after="10"/>
      </w:pPr>
      <w:r>
        <w:rPr>
          <w:sz w:val="22"/>
          <w:szCs w:val="22"/>
          <w:u w:val="single"/>
        </w:rPr>
        <w:t xml:space="preserve">Antitrust: </w:t>
      </w:r>
      <w:r>
        <w:rPr>
          <w:sz w:val="22"/>
          <w:szCs w:val="22"/>
        </w:rPr>
        <w:t>Analysis of relevant antitrust market and calculation of damages in an antitrust litigation concerning Hytrin (terazosin hydrochloride).</w:t>
      </w:r>
    </w:p>
    <w:p w14:paraId="7E93E426" w14:textId="77777777" w:rsidR="00DC296B" w:rsidRDefault="00AC362E">
      <w:pPr>
        <w:spacing w:before="140" w:after="10"/>
      </w:pPr>
      <w:r>
        <w:rPr>
          <w:b/>
          <w:bCs/>
          <w:i/>
          <w:iCs/>
          <w:sz w:val="22"/>
          <w:szCs w:val="22"/>
        </w:rPr>
        <w:t>In Re: Cardizem CD Antitrust Litigation</w:t>
      </w:r>
    </w:p>
    <w:p w14:paraId="0AA494FF" w14:textId="77777777" w:rsidR="00DC296B" w:rsidRDefault="00AC362E">
      <w:pPr>
        <w:spacing w:after="10"/>
      </w:pPr>
      <w:r>
        <w:rPr>
          <w:i/>
          <w:iCs/>
          <w:sz w:val="22"/>
          <w:szCs w:val="22"/>
        </w:rPr>
        <w:t>United States District Court, Eastern District of Michigan (Case No. 01-72806)</w:t>
      </w:r>
    </w:p>
    <w:p w14:paraId="66F4B29B" w14:textId="77777777" w:rsidR="00DC296B" w:rsidRDefault="00AC362E">
      <w:pPr>
        <w:spacing w:after="10"/>
      </w:pPr>
      <w:r>
        <w:rPr>
          <w:sz w:val="22"/>
          <w:szCs w:val="22"/>
          <w:u w:val="single"/>
        </w:rPr>
        <w:t xml:space="preserve">Antitrust: </w:t>
      </w:r>
      <w:r>
        <w:rPr>
          <w:sz w:val="22"/>
          <w:szCs w:val="22"/>
        </w:rPr>
        <w:t>Analysis of relevant market issues in an antitrust litigation concerning Cardizem CD (diltiazem hydrochloride).</w:t>
      </w:r>
    </w:p>
    <w:p w14:paraId="5474D872" w14:textId="77777777" w:rsidR="00DC296B" w:rsidRDefault="00AC362E">
      <w:pPr>
        <w:spacing w:before="140" w:after="10"/>
      </w:pPr>
      <w:r>
        <w:rPr>
          <w:b/>
          <w:bCs/>
          <w:i/>
          <w:iCs/>
          <w:sz w:val="22"/>
          <w:szCs w:val="22"/>
        </w:rPr>
        <w:t>Chiron Corporation v. Genentech, Inc.</w:t>
      </w:r>
    </w:p>
    <w:p w14:paraId="21A07C16" w14:textId="77777777" w:rsidR="00DC296B" w:rsidRDefault="00AC362E">
      <w:pPr>
        <w:spacing w:after="10"/>
      </w:pPr>
      <w:r>
        <w:rPr>
          <w:i/>
          <w:iCs/>
          <w:sz w:val="22"/>
          <w:szCs w:val="22"/>
        </w:rPr>
        <w:t>United States District Court, Eastern District of California (Case No. S-00-1252 WBS GGH)</w:t>
      </w:r>
    </w:p>
    <w:p w14:paraId="24C51656" w14:textId="77777777" w:rsidR="00DC296B" w:rsidRDefault="00AC362E">
      <w:pPr>
        <w:spacing w:after="10"/>
      </w:pPr>
      <w:r>
        <w:rPr>
          <w:sz w:val="22"/>
          <w:szCs w:val="22"/>
          <w:u w:val="single"/>
        </w:rPr>
        <w:t xml:space="preserve">Patent Infringement: </w:t>
      </w:r>
      <w:r>
        <w:rPr>
          <w:sz w:val="22"/>
          <w:szCs w:val="22"/>
        </w:rPr>
        <w:t>Analysis of reasonable royalty and prejudgment interest in a case concerning a patent directed to the active ingredient in Herceptin (an anti-cancer drug).</w:t>
      </w:r>
    </w:p>
    <w:p w14:paraId="37F69984" w14:textId="77777777" w:rsidR="00DC296B" w:rsidRDefault="00DC296B">
      <w:pPr>
        <w:pBdr>
          <w:bottom w:val="single" w:sz="6" w:space="4" w:color="999999"/>
        </w:pBdr>
        <w:spacing w:before="120" w:after="200"/>
      </w:pPr>
    </w:p>
    <w:p w14:paraId="0A6C203E" w14:textId="77777777" w:rsidR="00DC296B" w:rsidRDefault="00AC362E">
      <w:pPr>
        <w:spacing w:before="260" w:after="140"/>
      </w:pPr>
      <w:r>
        <w:rPr>
          <w:b/>
          <w:bCs/>
          <w:sz w:val="26"/>
          <w:szCs w:val="26"/>
        </w:rPr>
        <w:lastRenderedPageBreak/>
        <w:t>SELECTED MANAGEMENT CONSULTING ASSIGNMENTS</w:t>
      </w:r>
    </w:p>
    <w:p w14:paraId="711DA258" w14:textId="77777777" w:rsidR="00DC296B" w:rsidRDefault="00AC362E">
      <w:pPr>
        <w:pStyle w:val="ListParagraph"/>
        <w:numPr>
          <w:ilvl w:val="0"/>
          <w:numId w:val="1"/>
        </w:numPr>
        <w:spacing w:after="120"/>
      </w:pPr>
      <w:r>
        <w:rPr>
          <w:sz w:val="22"/>
          <w:szCs w:val="22"/>
        </w:rPr>
        <w:t>Developed a strategy for improving the economic performance of key industries and regions in the State of Ohio.</w:t>
      </w:r>
    </w:p>
    <w:p w14:paraId="18E9F02C" w14:textId="77777777" w:rsidR="00DC296B" w:rsidRDefault="00AC362E">
      <w:pPr>
        <w:pStyle w:val="ListParagraph"/>
        <w:numPr>
          <w:ilvl w:val="0"/>
          <w:numId w:val="1"/>
        </w:numPr>
        <w:spacing w:after="120"/>
      </w:pPr>
      <w:r>
        <w:rPr>
          <w:sz w:val="22"/>
          <w:szCs w:val="22"/>
        </w:rPr>
        <w:t>Developed a strategy for a large U.S. health insurer to confront and shape hospital consolidation in its core market.</w:t>
      </w:r>
    </w:p>
    <w:p w14:paraId="61AF9888" w14:textId="77777777" w:rsidR="00DC296B" w:rsidRDefault="00AC362E">
      <w:pPr>
        <w:pStyle w:val="ListParagraph"/>
        <w:numPr>
          <w:ilvl w:val="0"/>
          <w:numId w:val="1"/>
        </w:numPr>
        <w:spacing w:after="120"/>
      </w:pPr>
      <w:r>
        <w:rPr>
          <w:sz w:val="22"/>
          <w:szCs w:val="22"/>
        </w:rPr>
        <w:t>Identified and evaluated options available to a large pharmaceutical company for responding to emerging and anticipated changes on the payor side of the prescription drug market.</w:t>
      </w:r>
    </w:p>
    <w:p w14:paraId="287B7D5D" w14:textId="77777777" w:rsidR="00DC296B" w:rsidRDefault="00DC296B">
      <w:pPr>
        <w:pBdr>
          <w:bottom w:val="single" w:sz="6" w:space="4" w:color="999999"/>
        </w:pBdr>
        <w:spacing w:before="120" w:after="200"/>
      </w:pPr>
    </w:p>
    <w:p w14:paraId="2485181A" w14:textId="77777777" w:rsidR="00DC296B" w:rsidRDefault="00AC362E">
      <w:pPr>
        <w:spacing w:before="260" w:after="140"/>
      </w:pPr>
      <w:r>
        <w:rPr>
          <w:b/>
          <w:bCs/>
          <w:sz w:val="26"/>
          <w:szCs w:val="26"/>
        </w:rPr>
        <w:t>SELECTED LEGAL REPRESENTATIONS</w:t>
      </w:r>
    </w:p>
    <w:p w14:paraId="20FA6395" w14:textId="77777777" w:rsidR="00DC296B" w:rsidRDefault="00AC362E">
      <w:pPr>
        <w:pStyle w:val="ListParagraph"/>
        <w:numPr>
          <w:ilvl w:val="0"/>
          <w:numId w:val="1"/>
        </w:numPr>
        <w:spacing w:after="120"/>
      </w:pPr>
      <w:r>
        <w:rPr>
          <w:sz w:val="22"/>
          <w:szCs w:val="22"/>
        </w:rPr>
        <w:t>Argued before the U.S. Court of Appeals for the Federal Circuit in an appeal of a decision by the International Trade Commission concerning large newspaper printing presses. Represented a German manufacturer of large newspaper printing presses in antidumping proceedings before the U.S. Department of Commerce and International Trade Commission.</w:t>
      </w:r>
    </w:p>
    <w:p w14:paraId="40CAFF34" w14:textId="77777777" w:rsidR="00DC296B" w:rsidRDefault="00AC362E">
      <w:pPr>
        <w:pStyle w:val="ListParagraph"/>
        <w:numPr>
          <w:ilvl w:val="0"/>
          <w:numId w:val="1"/>
        </w:numPr>
        <w:spacing w:after="120"/>
      </w:pPr>
      <w:r>
        <w:rPr>
          <w:sz w:val="22"/>
          <w:szCs w:val="22"/>
        </w:rPr>
        <w:t>Argued before the Court of International Trade in an appeal of a decision by the International Trade Commission concerning oil country tubular goods (OCTG). Represented a Russian manufacturer of OCTG in an antidumping injury investigation before the International Trade Commission.</w:t>
      </w:r>
    </w:p>
    <w:p w14:paraId="46AD50F2" w14:textId="77777777" w:rsidR="00DC296B" w:rsidRDefault="00AC362E">
      <w:pPr>
        <w:pStyle w:val="ListParagraph"/>
        <w:numPr>
          <w:ilvl w:val="0"/>
          <w:numId w:val="1"/>
        </w:numPr>
        <w:spacing w:after="120"/>
      </w:pPr>
      <w:r>
        <w:rPr>
          <w:sz w:val="22"/>
          <w:szCs w:val="22"/>
        </w:rPr>
        <w:t>Represented beryllium and uranium producers from Kazakhstan in antidumping proceedings before the U.S. Department of Commerce and International Trade Commission.</w:t>
      </w:r>
    </w:p>
    <w:p w14:paraId="020732B4" w14:textId="77777777" w:rsidR="00DC296B" w:rsidRDefault="00AC362E">
      <w:pPr>
        <w:pStyle w:val="ListParagraph"/>
        <w:numPr>
          <w:ilvl w:val="0"/>
          <w:numId w:val="1"/>
        </w:numPr>
        <w:spacing w:after="120"/>
      </w:pPr>
      <w:r>
        <w:rPr>
          <w:sz w:val="22"/>
          <w:szCs w:val="22"/>
        </w:rPr>
        <w:t>Represented steel producers from Mexico and the People's Republic of China in antidumping proceedings before the U.S. Department of Commerce and International Trade Commission.</w:t>
      </w:r>
    </w:p>
    <w:p w14:paraId="6930CE3F" w14:textId="77777777" w:rsidR="00DC296B" w:rsidRDefault="00AC362E">
      <w:pPr>
        <w:pStyle w:val="ListParagraph"/>
        <w:numPr>
          <w:ilvl w:val="0"/>
          <w:numId w:val="1"/>
        </w:numPr>
        <w:spacing w:after="120"/>
      </w:pPr>
      <w:r>
        <w:rPr>
          <w:sz w:val="22"/>
          <w:szCs w:val="22"/>
        </w:rPr>
        <w:t>Represented tomato growers from Mexico in antidumping proceedings before the U.S. Department of Commerce and the International Trade Commission.</w:t>
      </w:r>
    </w:p>
    <w:p w14:paraId="10654333" w14:textId="77777777" w:rsidR="00DC296B" w:rsidRDefault="00AC362E">
      <w:pPr>
        <w:pStyle w:val="ListParagraph"/>
        <w:numPr>
          <w:ilvl w:val="0"/>
          <w:numId w:val="1"/>
        </w:numPr>
        <w:spacing w:after="120"/>
      </w:pPr>
      <w:r>
        <w:rPr>
          <w:sz w:val="22"/>
          <w:szCs w:val="22"/>
        </w:rPr>
        <w:t>Represented a Venezuelan oil producer in antidumping and countervailing duty proceedings before the U.S. Department of Commerce.</w:t>
      </w:r>
    </w:p>
    <w:p w14:paraId="17CFACC2" w14:textId="77777777" w:rsidR="00DC296B" w:rsidRDefault="00AC362E">
      <w:pPr>
        <w:pStyle w:val="ListParagraph"/>
        <w:numPr>
          <w:ilvl w:val="0"/>
          <w:numId w:val="1"/>
        </w:numPr>
        <w:spacing w:after="120"/>
      </w:pPr>
      <w:r>
        <w:rPr>
          <w:sz w:val="22"/>
          <w:szCs w:val="22"/>
        </w:rPr>
        <w:t>Represented collated roofing nail and synthetic rubber producers from Korea in an antidumping proceeding before the U.S. International Trade Commission.</w:t>
      </w:r>
    </w:p>
    <w:p w14:paraId="15234EEB" w14:textId="77777777" w:rsidR="00DC296B" w:rsidRDefault="00AC362E">
      <w:pPr>
        <w:pStyle w:val="ListParagraph"/>
        <w:numPr>
          <w:ilvl w:val="0"/>
          <w:numId w:val="1"/>
        </w:numPr>
        <w:spacing w:after="120"/>
      </w:pPr>
      <w:r>
        <w:rPr>
          <w:sz w:val="22"/>
          <w:szCs w:val="22"/>
        </w:rPr>
        <w:t>Represented a waste management company in multiple merger proceedings before the U.S. Department of Justice.</w:t>
      </w:r>
    </w:p>
    <w:sectPr w:rsidR="00DC296B">
      <w:headerReference w:type="default" r:id="rId8"/>
      <w:footerReference w:type="default" r:id="rId9"/>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4704F" w14:textId="77777777" w:rsidR="008765A1" w:rsidRDefault="008765A1">
      <w:r>
        <w:separator/>
      </w:r>
    </w:p>
  </w:endnote>
  <w:endnote w:type="continuationSeparator" w:id="0">
    <w:p w14:paraId="68C1525C" w14:textId="77777777" w:rsidR="008765A1" w:rsidRDefault="00876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panose1 w:val="020B000402020209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08B9" w14:textId="77777777" w:rsidR="00DC296B" w:rsidRDefault="00AC362E">
    <w:pPr>
      <w:jc w:val="center"/>
    </w:pPr>
    <w:r>
      <w:fldChar w:fldCharType="begin"/>
    </w:r>
    <w:r>
      <w:instrText>PAGE</w:instrText>
    </w:r>
    <w:r>
      <w:fldChar w:fldCharType="separate"/>
    </w:r>
    <w:r w:rsidR="004A75C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188CF" w14:textId="77777777" w:rsidR="008765A1" w:rsidRDefault="008765A1">
      <w:r>
        <w:separator/>
      </w:r>
    </w:p>
  </w:footnote>
  <w:footnote w:type="continuationSeparator" w:id="0">
    <w:p w14:paraId="10289893" w14:textId="77777777" w:rsidR="008765A1" w:rsidRDefault="00876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1C8" w14:textId="77777777" w:rsidR="00DC296B" w:rsidRDefault="00DC29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2027B"/>
    <w:multiLevelType w:val="hybridMultilevel"/>
    <w:tmpl w:val="8C6A3EEE"/>
    <w:lvl w:ilvl="0" w:tplc="8DC2B58C">
      <w:start w:val="1"/>
      <w:numFmt w:val="bullet"/>
      <w:lvlText w:val="●"/>
      <w:lvlJc w:val="left"/>
      <w:pPr>
        <w:ind w:left="720" w:hanging="360"/>
      </w:pPr>
    </w:lvl>
    <w:lvl w:ilvl="1" w:tplc="6EA4EEA4">
      <w:start w:val="1"/>
      <w:numFmt w:val="bullet"/>
      <w:lvlText w:val="○"/>
      <w:lvlJc w:val="left"/>
      <w:pPr>
        <w:ind w:left="1440" w:hanging="360"/>
      </w:pPr>
    </w:lvl>
    <w:lvl w:ilvl="2" w:tplc="BE08F078">
      <w:start w:val="1"/>
      <w:numFmt w:val="bullet"/>
      <w:lvlText w:val="■"/>
      <w:lvlJc w:val="left"/>
      <w:pPr>
        <w:ind w:left="2160" w:hanging="360"/>
      </w:pPr>
    </w:lvl>
    <w:lvl w:ilvl="3" w:tplc="BC1AE31A">
      <w:start w:val="1"/>
      <w:numFmt w:val="bullet"/>
      <w:lvlText w:val="●"/>
      <w:lvlJc w:val="left"/>
      <w:pPr>
        <w:ind w:left="2880" w:hanging="360"/>
      </w:pPr>
    </w:lvl>
    <w:lvl w:ilvl="4" w:tplc="181EB91C">
      <w:start w:val="1"/>
      <w:numFmt w:val="bullet"/>
      <w:lvlText w:val="○"/>
      <w:lvlJc w:val="left"/>
      <w:pPr>
        <w:ind w:left="3600" w:hanging="360"/>
      </w:pPr>
    </w:lvl>
    <w:lvl w:ilvl="5" w:tplc="F82086DE">
      <w:start w:val="1"/>
      <w:numFmt w:val="bullet"/>
      <w:lvlText w:val="■"/>
      <w:lvlJc w:val="left"/>
      <w:pPr>
        <w:ind w:left="4320" w:hanging="360"/>
      </w:pPr>
    </w:lvl>
    <w:lvl w:ilvl="6" w:tplc="5D282644">
      <w:start w:val="1"/>
      <w:numFmt w:val="bullet"/>
      <w:lvlText w:val="●"/>
      <w:lvlJc w:val="left"/>
      <w:pPr>
        <w:ind w:left="5040" w:hanging="360"/>
      </w:pPr>
    </w:lvl>
    <w:lvl w:ilvl="7" w:tplc="5906D2D0">
      <w:start w:val="1"/>
      <w:numFmt w:val="bullet"/>
      <w:lvlText w:val="●"/>
      <w:lvlJc w:val="left"/>
      <w:pPr>
        <w:ind w:left="5760" w:hanging="360"/>
      </w:pPr>
    </w:lvl>
    <w:lvl w:ilvl="8" w:tplc="0812EA3A">
      <w:start w:val="1"/>
      <w:numFmt w:val="bullet"/>
      <w:lvlText w:val="●"/>
      <w:lvlJc w:val="left"/>
      <w:pPr>
        <w:ind w:left="6480" w:hanging="360"/>
      </w:pPr>
    </w:lvl>
  </w:abstractNum>
  <w:num w:numId="1" w16cid:durableId="12509697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6B"/>
    <w:rsid w:val="004A75C9"/>
    <w:rsid w:val="008765A1"/>
    <w:rsid w:val="00AC362E"/>
    <w:rsid w:val="00AF6AD5"/>
    <w:rsid w:val="00D04D0F"/>
    <w:rsid w:val="00DC296B"/>
    <w:rsid w:val="00DE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D3780"/>
  <w15:docId w15:val="{1DCDFB51-E891-4746-9646-AEBA7DE7C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6157</Words>
  <Characters>35101</Characters>
  <Application>Microsoft Office Word</Application>
  <DocSecurity>0</DocSecurity>
  <Lines>292</Lines>
  <Paragraphs>82</Paragraphs>
  <ScaleCrop>false</ScaleCrop>
  <Company/>
  <LinksUpToDate>false</LinksUpToDate>
  <CharactersWithSpaces>41176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Chapman</cp:lastModifiedBy>
  <cp:revision>3</cp:revision>
  <dcterms:created xsi:type="dcterms:W3CDTF">2026-08-06T20:24:00Z</dcterms:created>
  <dcterms:modified xsi:type="dcterms:W3CDTF">2026-08-06T20:30:00Z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36cc1f5b-ffdd-4e82-8ef6-2379d3ccad0a</vt:lpwstr>
  </property>
</Properties>
</file>